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C8A17" w14:textId="77777777" w:rsidR="00CE4E63" w:rsidRDefault="00FA1C79">
      <w:pPr>
        <w:spacing w:after="60"/>
        <w:jc w:val="center"/>
      </w:pPr>
      <w:r>
        <w:rPr>
          <w:b/>
          <w:bCs/>
          <w:color w:val="9C7A2E"/>
          <w:sz w:val="20"/>
          <w:szCs w:val="20"/>
        </w:rPr>
        <w:t>46ª CONVENCIÓN NOTARIAL</w:t>
      </w:r>
    </w:p>
    <w:p w14:paraId="61FA77C9" w14:textId="77777777" w:rsidR="00CE4E63" w:rsidRDefault="00FA1C79">
      <w:pPr>
        <w:spacing w:after="300"/>
        <w:jc w:val="center"/>
      </w:pPr>
      <w:r>
        <w:rPr>
          <w:color w:val="666666"/>
          <w:sz w:val="18"/>
          <w:szCs w:val="18"/>
        </w:rPr>
        <w:t>Colegio de Escribanos de la Ciudad de Buenos Aires</w:t>
      </w:r>
    </w:p>
    <w:p w14:paraId="60D23548" w14:textId="77777777" w:rsidR="00CE4E63" w:rsidRDefault="00FA1C79">
      <w:pPr>
        <w:spacing w:after="120"/>
        <w:jc w:val="center"/>
      </w:pPr>
      <w:r>
        <w:rPr>
          <w:b/>
          <w:bCs/>
          <w:color w:val="1F3864"/>
          <w:sz w:val="40"/>
          <w:szCs w:val="40"/>
        </w:rPr>
        <w:t>TEMA II</w:t>
      </w:r>
    </w:p>
    <w:p w14:paraId="7B52EE22" w14:textId="77777777" w:rsidR="00CE4E63" w:rsidRDefault="00FA1C79">
      <w:pPr>
        <w:spacing w:after="260"/>
        <w:jc w:val="center"/>
      </w:pPr>
      <w:r>
        <w:rPr>
          <w:b/>
          <w:bCs/>
          <w:color w:val="1F3864"/>
          <w:sz w:val="26"/>
          <w:szCs w:val="26"/>
        </w:rPr>
        <w:t>Herramientas de acceso al crédito y la vivienda</w:t>
      </w:r>
    </w:p>
    <w:p w14:paraId="37868C88" w14:textId="77777777" w:rsidR="00CE4E63" w:rsidRDefault="00FA1C79">
      <w:pPr>
        <w:spacing w:after="60"/>
        <w:jc w:val="center"/>
      </w:pPr>
      <w:r>
        <w:rPr>
          <w:i/>
          <w:iCs/>
          <w:color w:val="555555"/>
          <w:sz w:val="20"/>
          <w:szCs w:val="20"/>
        </w:rPr>
        <w:t>Ponencias consignadas por cada autor, en el orden de exposición</w:t>
      </w:r>
    </w:p>
    <w:p w14:paraId="3FCA12C0" w14:textId="77777777" w:rsidR="00CE4E63" w:rsidRDefault="00FA1C79">
      <w:pPr>
        <w:spacing w:after="400"/>
        <w:jc w:val="center"/>
      </w:pPr>
      <w:r>
        <w:rPr>
          <w:color w:val="555555"/>
          <w:sz w:val="19"/>
          <w:szCs w:val="19"/>
        </w:rPr>
        <w:t>Coordinación del Tema: Esc. Sonia Lukaszewicz — Esc. Julián Frigerio</w:t>
      </w:r>
    </w:p>
    <w:p w14:paraId="463E2551" w14:textId="77777777" w:rsidR="00CE4E63" w:rsidRDefault="00FA1C79">
      <w:pPr>
        <w:pStyle w:val="Ttulo1"/>
        <w:pBdr>
          <w:bottom w:val="single" w:sz="8" w:space="4" w:color="1F3864"/>
        </w:pBdr>
        <w:spacing w:before="320" w:after="160"/>
      </w:pPr>
      <w:r>
        <w:rPr>
          <w:b/>
          <w:bCs/>
          <w:color w:val="1F3864"/>
          <w:sz w:val="26"/>
          <w:szCs w:val="26"/>
        </w:rPr>
        <w:t>Bloque 1 — Garantías y leasing</w:t>
      </w:r>
    </w:p>
    <w:p w14:paraId="592A7EE6" w14:textId="77777777" w:rsidR="00CE4E63" w:rsidRDefault="00FA1C79">
      <w:pPr>
        <w:pBdr>
          <w:left w:val="single" w:sz="18" w:space="6" w:color="9C7A2E"/>
        </w:pBdr>
        <w:spacing w:before="260" w:after="40"/>
        <w:ind w:left="100"/>
      </w:pPr>
      <w:r>
        <w:rPr>
          <w:b/>
          <w:bCs/>
          <w:color w:val="1F3864"/>
          <w:sz w:val="22"/>
          <w:szCs w:val="22"/>
        </w:rPr>
        <w:t>1. Trabajo Freier y Mirkin</w:t>
      </w:r>
    </w:p>
    <w:p w14:paraId="4E531BAA" w14:textId="77777777" w:rsidR="00CE4E63" w:rsidRDefault="00FA1C79">
      <w:pPr>
        <w:spacing w:after="60"/>
        <w:ind w:left="100"/>
      </w:pPr>
      <w:r>
        <w:rPr>
          <w:i/>
          <w:iCs/>
          <w:color w:val="555555"/>
          <w:sz w:val="19"/>
          <w:szCs w:val="19"/>
        </w:rPr>
        <w:t xml:space="preserve">"El Contrato de Leasing Inmobiliario como Herramienta Eficiente para el Acceso a la Vivienda Familiar: Análisis Sustantivo, Aplicación Escrituraria y Perspectiva Social" — Escribanos </w:t>
      </w:r>
      <w:proofErr w:type="spellStart"/>
      <w:r>
        <w:rPr>
          <w:i/>
          <w:iCs/>
          <w:color w:val="555555"/>
          <w:sz w:val="19"/>
          <w:szCs w:val="19"/>
        </w:rPr>
        <w:t>Stefania</w:t>
      </w:r>
      <w:proofErr w:type="spellEnd"/>
      <w:r>
        <w:rPr>
          <w:i/>
          <w:iCs/>
          <w:color w:val="555555"/>
          <w:sz w:val="19"/>
          <w:szCs w:val="19"/>
        </w:rPr>
        <w:t xml:space="preserve"> S. Freier y Gastón A. Mirkin</w:t>
      </w:r>
    </w:p>
    <w:p w14:paraId="655927FD" w14:textId="77777777" w:rsidR="00CE4E63" w:rsidRDefault="00FA1C79">
      <w:pPr>
        <w:spacing w:after="100"/>
        <w:ind w:left="100"/>
      </w:pPr>
      <w:r>
        <w:rPr>
          <w:b/>
          <w:bCs/>
          <w:color w:val="6B4E00"/>
          <w:sz w:val="20"/>
          <w:szCs w:val="20"/>
        </w:rPr>
        <w:t>Ponencias:</w:t>
      </w:r>
    </w:p>
    <w:p w14:paraId="28600FF2" w14:textId="77777777" w:rsidR="00CE4E63" w:rsidRDefault="00FA1C79">
      <w:pPr>
        <w:spacing w:after="120"/>
        <w:ind w:left="100"/>
        <w:jc w:val="both"/>
      </w:pPr>
      <w:r>
        <w:rPr>
          <w:sz w:val="20"/>
          <w:szCs w:val="20"/>
        </w:rPr>
        <w:t xml:space="preserve">i) El leasing inmobiliario constituye una figura contractual sólida y versátil que brinda garantías suficientes al dador (manteniendo la titularidad </w:t>
      </w:r>
      <w:proofErr w:type="spellStart"/>
      <w:r>
        <w:rPr>
          <w:sz w:val="20"/>
          <w:szCs w:val="20"/>
        </w:rPr>
        <w:t>dominial</w:t>
      </w:r>
      <w:proofErr w:type="spellEnd"/>
      <w:r>
        <w:rPr>
          <w:sz w:val="20"/>
          <w:szCs w:val="20"/>
        </w:rPr>
        <w:t>) y previsibilidad al tomador (derecho escalonado al acceso a la propiedad). Constituye la alternativa técnica idónea para familias sin capacidad inmediata de ahorro para el pago de un anticipo hipotecario tradicional.</w:t>
      </w:r>
    </w:p>
    <w:p w14:paraId="08507422" w14:textId="77777777" w:rsidR="00CE4E63" w:rsidRDefault="00FA1C79">
      <w:pPr>
        <w:spacing w:after="120"/>
        <w:ind w:left="100"/>
        <w:jc w:val="both"/>
      </w:pPr>
      <w:proofErr w:type="spellStart"/>
      <w:r>
        <w:rPr>
          <w:sz w:val="20"/>
          <w:szCs w:val="20"/>
        </w:rPr>
        <w:t>ii</w:t>
      </w:r>
      <w:proofErr w:type="spellEnd"/>
      <w:r>
        <w:rPr>
          <w:sz w:val="20"/>
          <w:szCs w:val="20"/>
        </w:rPr>
        <w:t>) El escribano actúa no solo como fedatario en la instrumentación del leasing inmobiliario y la posterior escritura traslativa con hipoteca, sino también como garante de la equidad contractual y de la perfección de los títulos.</w:t>
      </w:r>
    </w:p>
    <w:p w14:paraId="1183FF31" w14:textId="77777777" w:rsidR="00CE4E63" w:rsidRDefault="00FA1C79">
      <w:pPr>
        <w:spacing w:after="120"/>
        <w:ind w:left="100"/>
        <w:jc w:val="both"/>
      </w:pPr>
      <w:proofErr w:type="spellStart"/>
      <w:r>
        <w:rPr>
          <w:sz w:val="20"/>
          <w:szCs w:val="20"/>
        </w:rPr>
        <w:t>iii</w:t>
      </w:r>
      <w:proofErr w:type="spellEnd"/>
      <w:r>
        <w:rPr>
          <w:sz w:val="20"/>
          <w:szCs w:val="20"/>
        </w:rPr>
        <w:t>) La intervención del notario al redactar e inscribir la escritura pública de leasing brinda seguridad jurídica preventiva, garantizando el estudio de títulos, la correcta constitución de gravámenes (futura hipoteca) y la efectividad de los derechos de ambas partes frente a fluctuaciones económicas.</w:t>
      </w:r>
    </w:p>
    <w:p w14:paraId="0FE1AF2E" w14:textId="77777777" w:rsidR="00CE4E63" w:rsidRDefault="00FA1C79">
      <w:pPr>
        <w:spacing w:after="120"/>
        <w:ind w:left="100"/>
        <w:jc w:val="both"/>
      </w:pPr>
      <w:proofErr w:type="spellStart"/>
      <w:r>
        <w:rPr>
          <w:sz w:val="20"/>
          <w:szCs w:val="20"/>
        </w:rPr>
        <w:t>iv</w:t>
      </w:r>
      <w:proofErr w:type="spellEnd"/>
      <w:r>
        <w:rPr>
          <w:sz w:val="20"/>
          <w:szCs w:val="20"/>
        </w:rPr>
        <w:t>) El leasing habitacional privado e individual, instrumentado por escritura pública, constituye un canal complementario al crédito bancario que permite canalizar la oferta de viviendas y facilitar el acceso formal a la propiedad urbana.</w:t>
      </w:r>
    </w:p>
    <w:p w14:paraId="600A29E9" w14:textId="77777777" w:rsidR="00CE4E63" w:rsidRDefault="00FA1C79">
      <w:pPr>
        <w:spacing w:after="120"/>
        <w:ind w:left="100"/>
        <w:jc w:val="both"/>
      </w:pPr>
      <w:r>
        <w:rPr>
          <w:sz w:val="20"/>
          <w:szCs w:val="20"/>
        </w:rPr>
        <w:t>v) El escribano interviene no como mero formalizador del contrato, sino como arquitecto jurídico que equilibra las prestaciones, garantiza títulos perfectos y asesora sobre la planificación impositiva y la efectividad de las garantías reales involucradas.</w:t>
      </w:r>
    </w:p>
    <w:p w14:paraId="00F6C450" w14:textId="77777777" w:rsidR="00CE4E63" w:rsidRDefault="00FA1C79">
      <w:pPr>
        <w:spacing w:after="120"/>
        <w:ind w:left="100"/>
        <w:jc w:val="both"/>
      </w:pPr>
      <w:r>
        <w:rPr>
          <w:sz w:val="20"/>
          <w:szCs w:val="20"/>
        </w:rPr>
        <w:t>vi) La figura ofrece seguridad jurídica integral al combinar la protección al tomador (derecho a adquirir con oponibilidad registral) con la seguridad para el dador (conserva el dominio hasta el pago total del valor).</w:t>
      </w:r>
    </w:p>
    <w:p w14:paraId="15D5DD6C" w14:textId="77777777" w:rsidR="00CE4E63" w:rsidRDefault="00FA1C79">
      <w:pPr>
        <w:pBdr>
          <w:left w:val="single" w:sz="18" w:space="6" w:color="9C7A2E"/>
        </w:pBdr>
        <w:spacing w:before="260" w:after="40"/>
        <w:ind w:left="100"/>
      </w:pPr>
      <w:r>
        <w:rPr>
          <w:b/>
          <w:bCs/>
          <w:color w:val="1F3864"/>
          <w:sz w:val="22"/>
          <w:szCs w:val="22"/>
        </w:rPr>
        <w:t>2. Trabajo Frigerio</w:t>
      </w:r>
    </w:p>
    <w:p w14:paraId="489C4017" w14:textId="77777777" w:rsidR="00CE4E63" w:rsidRDefault="00FA1C79">
      <w:pPr>
        <w:spacing w:after="60"/>
        <w:ind w:left="100"/>
      </w:pPr>
      <w:r>
        <w:rPr>
          <w:i/>
          <w:iCs/>
          <w:color w:val="555555"/>
          <w:sz w:val="19"/>
          <w:szCs w:val="19"/>
        </w:rPr>
        <w:t>"El Leasing Inmobiliario Habitacional: Estructuración Notarial, Armonización Registral y Tratamiento Tributario en CABA, conforme al Código Fiscal T.O. 2026 (</w:t>
      </w:r>
      <w:proofErr w:type="spellStart"/>
      <w:r>
        <w:rPr>
          <w:i/>
          <w:iCs/>
          <w:color w:val="555555"/>
          <w:sz w:val="19"/>
          <w:szCs w:val="19"/>
        </w:rPr>
        <w:t>Dec</w:t>
      </w:r>
      <w:proofErr w:type="spellEnd"/>
      <w:r>
        <w:rPr>
          <w:i/>
          <w:iCs/>
          <w:color w:val="555555"/>
          <w:sz w:val="19"/>
          <w:szCs w:val="19"/>
        </w:rPr>
        <w:t>. 172/26)" — Esc. Raúl Norberto Julián Frigerio</w:t>
      </w:r>
    </w:p>
    <w:p w14:paraId="2D539F1E" w14:textId="77777777" w:rsidR="00CE4E63" w:rsidRDefault="00FA1C79">
      <w:pPr>
        <w:spacing w:after="100"/>
        <w:ind w:left="100"/>
      </w:pPr>
      <w:r>
        <w:rPr>
          <w:b/>
          <w:bCs/>
          <w:color w:val="6B4E00"/>
          <w:sz w:val="20"/>
          <w:szCs w:val="20"/>
        </w:rPr>
        <w:t>Ponencias:</w:t>
      </w:r>
    </w:p>
    <w:p w14:paraId="7C0BFB24" w14:textId="77777777" w:rsidR="00CE4E63" w:rsidRDefault="00FA1C79">
      <w:pPr>
        <w:spacing w:after="120"/>
        <w:ind w:left="100"/>
        <w:jc w:val="both"/>
      </w:pPr>
      <w:r>
        <w:rPr>
          <w:sz w:val="20"/>
          <w:szCs w:val="20"/>
        </w:rPr>
        <w:t xml:space="preserve">1. Naturaleza Jurídica y Función Social del Acceso a la Vivienda: El leasing inmobiliario habitacional (arts. 1227 a 1250 del CCyCN) constituye un contrato autónomo, unitario y complejo de financiamiento. Su causa-fin primordial es la satisfacción del derecho de acceso a la vivienda mediante la transferencia de la tenencia con vocación traslativa </w:t>
      </w:r>
      <w:proofErr w:type="spellStart"/>
      <w:r>
        <w:rPr>
          <w:sz w:val="20"/>
          <w:szCs w:val="20"/>
        </w:rPr>
        <w:t>dominial</w:t>
      </w:r>
      <w:proofErr w:type="spellEnd"/>
      <w:r>
        <w:rPr>
          <w:sz w:val="20"/>
          <w:szCs w:val="20"/>
        </w:rPr>
        <w:t xml:space="preserve"> diferida, desarticulando el obstáculo del ahorro previo (20% al 30% en efectivo) y las rigideces del </w:t>
      </w:r>
      <w:proofErr w:type="spellStart"/>
      <w:r>
        <w:rPr>
          <w:sz w:val="20"/>
          <w:szCs w:val="20"/>
        </w:rPr>
        <w:t>scoring</w:t>
      </w:r>
      <w:proofErr w:type="spellEnd"/>
      <w:r>
        <w:rPr>
          <w:sz w:val="20"/>
          <w:szCs w:val="20"/>
        </w:rPr>
        <w:t xml:space="preserve"> bancario tradicional.</w:t>
      </w:r>
    </w:p>
    <w:p w14:paraId="72AE8B96" w14:textId="77777777" w:rsidR="00CE4E63" w:rsidRDefault="00FA1C79">
      <w:pPr>
        <w:spacing w:after="120"/>
        <w:ind w:left="100"/>
        <w:jc w:val="both"/>
      </w:pPr>
      <w:r>
        <w:rPr>
          <w:sz w:val="20"/>
          <w:szCs w:val="20"/>
        </w:rPr>
        <w:t xml:space="preserve">2. Mitigación del Riesgo y Certeza Patrimonial: El esquema contractual brinda resguardo recíproco: al dador le asegura la conservación de la titularidad </w:t>
      </w:r>
      <w:proofErr w:type="spellStart"/>
      <w:r>
        <w:rPr>
          <w:sz w:val="20"/>
          <w:szCs w:val="20"/>
        </w:rPr>
        <w:t>dominial</w:t>
      </w:r>
      <w:proofErr w:type="spellEnd"/>
      <w:r>
        <w:rPr>
          <w:sz w:val="20"/>
          <w:szCs w:val="20"/>
        </w:rPr>
        <w:t xml:space="preserve"> como garantía frente a la mora y el recupero posesorio por la vía sumarísima del desalojo (art. 1248 del CCyCN); al tomador le garantiza la imputación progresiva de los cánones mensuales a la adquisición definitiva de su vivienda.</w:t>
      </w:r>
    </w:p>
    <w:p w14:paraId="2D2DEEE8" w14:textId="77777777" w:rsidR="00CE4E63" w:rsidRDefault="00FA1C79">
      <w:pPr>
        <w:spacing w:after="120"/>
        <w:ind w:left="100"/>
        <w:jc w:val="both"/>
      </w:pPr>
      <w:r>
        <w:rPr>
          <w:sz w:val="20"/>
          <w:szCs w:val="20"/>
        </w:rPr>
        <w:t xml:space="preserve">3. Armonización Registral, Prioridad Notarial y Doctrina Registral Uniforme: El plazo de 5 días fijado por el artículo 1234, 2do párrafo, del CCyCN resulta inaplicable a los inmuebles por provenir del régimen de bienes muebles no registrables. Conforme a la doctrina uniforme, las escrituras de leasing inmobiliario y sus respectivas transferencias </w:t>
      </w:r>
      <w:proofErr w:type="spellStart"/>
      <w:r>
        <w:rPr>
          <w:sz w:val="20"/>
          <w:szCs w:val="20"/>
        </w:rPr>
        <w:t>dominiales</w:t>
      </w:r>
      <w:proofErr w:type="spellEnd"/>
      <w:r>
        <w:rPr>
          <w:sz w:val="20"/>
          <w:szCs w:val="20"/>
        </w:rPr>
        <w:t xml:space="preserve"> se rigen por la Ley Nacional 17.801, amparándose en el plazo retroactivo de 45 días (art. 5º), el bloqueo registral de los </w:t>
      </w:r>
      <w:r>
        <w:rPr>
          <w:sz w:val="20"/>
          <w:szCs w:val="20"/>
        </w:rPr>
        <w:lastRenderedPageBreak/>
        <w:t>certificados preventivos (arts. 23 y 25), la oponibilidad y prioridad excluyente frente a cautelares sobrevinientes (arts. 1234 y 1237 del CCyCN), teniendo una vigencia registral por el plazo de veinte (20) años.</w:t>
      </w:r>
    </w:p>
    <w:p w14:paraId="56330608" w14:textId="77777777" w:rsidR="00CE4E63" w:rsidRDefault="00FA1C79">
      <w:pPr>
        <w:spacing w:after="120"/>
        <w:ind w:left="100"/>
        <w:jc w:val="both"/>
      </w:pPr>
      <w:r>
        <w:rPr>
          <w:sz w:val="20"/>
          <w:szCs w:val="20"/>
        </w:rPr>
        <w:t>4. Determinación del Canon y Ejercicio Anticipado de la Opción: En ejercicio de la autonomía contractual (art. 1229 del CCyCN), las escrituras de leasing deben plasmar la discriminación funcional del canon (valor locativo y porción adquisitiva), estipulando con precisión las pautas para computar el saldo de capital pendiente y deducir los cánones no devengados cuando el tomador ejerza anticipadamente la Opción (art. 1240 del CCyCN).</w:t>
      </w:r>
    </w:p>
    <w:p w14:paraId="7E7B533E" w14:textId="77777777" w:rsidR="00CE4E63" w:rsidRDefault="00FA1C79">
      <w:pPr>
        <w:spacing w:after="120"/>
        <w:ind w:left="100"/>
        <w:jc w:val="both"/>
      </w:pPr>
      <w:r>
        <w:rPr>
          <w:sz w:val="20"/>
          <w:szCs w:val="20"/>
        </w:rPr>
        <w:t>5. Eficacia de Cláusulas Monetarias y Mecanismos de Estabilización: Conforme al artículo 1229 del CCyCN y la reforma de los arts. 765 y 766 (DNU 70/2023), las partes gozan de plena libertad para pactar el canon y el precio de la opción de compra en moneda de curso legal en la República o en moneda extranjera. La jurisprudencia reciente de la CSJN consagra la intangibilidad y el estricto cumplimiento de la literalidad de los mecanismos de liquidación y conversión cambiaria convenidos, otorgando certeza al dador y al tomador frente a contingencias macroeconómicas.</w:t>
      </w:r>
    </w:p>
    <w:p w14:paraId="5C3578C5" w14:textId="77777777" w:rsidR="00CE4E63" w:rsidRDefault="00FA1C79">
      <w:pPr>
        <w:spacing w:after="120"/>
        <w:ind w:left="100"/>
        <w:jc w:val="both"/>
      </w:pPr>
      <w:r>
        <w:rPr>
          <w:sz w:val="20"/>
          <w:szCs w:val="20"/>
        </w:rPr>
        <w:t xml:space="preserve">6. Encuadre Tributario Bifásico y Deberes Notariales de Recaudación: La operatoria notarial del leasing habitacional se rige por un esquema tributario en dos etapas: en el ámbito de CABA, tributa el Impuesto de Sellos sobre el total de los cánones al constituirse el contrato (art. 339, 1º párrafo, CF) y sobre la base mayor entre el valor total o el VIR al formalizarse la opción de compra, imputándose el 100% del sellado inicial como pago a cuenta directo (art. 339, párrafos 2º y 3º). En el orden nacional, al escriturarse la transmisión </w:t>
      </w:r>
      <w:proofErr w:type="spellStart"/>
      <w:r>
        <w:rPr>
          <w:sz w:val="20"/>
          <w:szCs w:val="20"/>
        </w:rPr>
        <w:t>dominial</w:t>
      </w:r>
      <w:proofErr w:type="spellEnd"/>
      <w:r>
        <w:rPr>
          <w:sz w:val="20"/>
          <w:szCs w:val="20"/>
        </w:rPr>
        <w:t>, no corresponden retenciones por tributos directos a dadores personas humanas (derogación del ITI y exención del Impuesto Cedular), debiendo el notario retener únicamente el 3% a cuenta de Ganancias (RG AFIP 2139/2006) cuando el dador sea una persona jurídica o sujeto empresa.</w:t>
      </w:r>
    </w:p>
    <w:p w14:paraId="0A66F22A" w14:textId="77777777" w:rsidR="00CE4E63" w:rsidRDefault="00FA1C79">
      <w:pPr>
        <w:spacing w:after="120"/>
        <w:ind w:left="100"/>
        <w:jc w:val="both"/>
      </w:pPr>
      <w:r>
        <w:rPr>
          <w:sz w:val="20"/>
          <w:szCs w:val="20"/>
        </w:rPr>
        <w:t xml:space="preserve">7. De Lege </w:t>
      </w:r>
      <w:proofErr w:type="spellStart"/>
      <w:r>
        <w:rPr>
          <w:sz w:val="20"/>
          <w:szCs w:val="20"/>
        </w:rPr>
        <w:t>Ferenda</w:t>
      </w:r>
      <w:proofErr w:type="spellEnd"/>
      <w:r>
        <w:rPr>
          <w:sz w:val="20"/>
          <w:szCs w:val="20"/>
        </w:rPr>
        <w:t xml:space="preserve"> – Exención para la Primera Vivienda en Leasing: Propiciar ante la Legislatura de la Ciudad Autónoma de Buenos Aires la reforma del artículo 365, inciso 1), del Código Fiscal T.O. 2026, a fin de extender expresamente la exención del Impuesto de Sellos para vivienda única, familiar y de ocupación permanente a la escritura de constitución del contrato de leasing inmobiliario, suprimiendo el gravamen sobre los cánones de destino habitacional; y disponer que, al escriturarse la transmisión de dominio por ejercicio de la opción, la base imponible del Impuesto de Sellos esté conformada exclusivamente por el precio del valor residual efectivamente abonado (o la proporción de VIR correspondiente al saldo impago), evitando que la sumatoria histórica de cánones frustre el tope legal de la exención social.</w:t>
      </w:r>
    </w:p>
    <w:p w14:paraId="2A64EB82" w14:textId="77777777" w:rsidR="00CE4E63" w:rsidRDefault="00FA1C79">
      <w:pPr>
        <w:pBdr>
          <w:left w:val="single" w:sz="18" w:space="6" w:color="9C7A2E"/>
        </w:pBdr>
        <w:spacing w:before="260" w:after="40"/>
        <w:ind w:left="100"/>
      </w:pPr>
      <w:r>
        <w:rPr>
          <w:b/>
          <w:bCs/>
          <w:color w:val="1F3864"/>
          <w:sz w:val="22"/>
          <w:szCs w:val="22"/>
        </w:rPr>
        <w:t>3. Trabajo Acquarone</w:t>
      </w:r>
    </w:p>
    <w:p w14:paraId="7CABA12E" w14:textId="77777777" w:rsidR="00CE4E63" w:rsidRDefault="00FA1C79">
      <w:pPr>
        <w:spacing w:after="60"/>
        <w:ind w:left="100"/>
      </w:pPr>
      <w:r>
        <w:rPr>
          <w:i/>
          <w:iCs/>
          <w:color w:val="555555"/>
          <w:sz w:val="19"/>
          <w:szCs w:val="19"/>
        </w:rPr>
        <w:t>"Fideicomiso de Garantía" — Esc. María Teresita Acquarone</w:t>
      </w:r>
    </w:p>
    <w:p w14:paraId="5F536270" w14:textId="77777777" w:rsidR="00CE4E63" w:rsidRDefault="00FA1C79">
      <w:pPr>
        <w:spacing w:after="100"/>
        <w:ind w:left="100"/>
      </w:pPr>
      <w:r>
        <w:rPr>
          <w:b/>
          <w:bCs/>
          <w:color w:val="6B4E00"/>
          <w:sz w:val="20"/>
          <w:szCs w:val="20"/>
        </w:rPr>
        <w:t>Ponencias:</w:t>
      </w:r>
    </w:p>
    <w:p w14:paraId="1CF43EED" w14:textId="77777777" w:rsidR="00CE4E63" w:rsidRDefault="00FA1C79">
      <w:pPr>
        <w:spacing w:after="120"/>
        <w:ind w:left="100"/>
        <w:jc w:val="both"/>
      </w:pPr>
      <w:r>
        <w:rPr>
          <w:sz w:val="20"/>
          <w:szCs w:val="20"/>
        </w:rPr>
        <w:t xml:space="preserve">I-La utilización más común de financiar la adquisición de la propiedad es el fideicomiso de administración para la construcción de edificios destinados a la vivienda. Pero también una manera de financiar la adquisición de la </w:t>
      </w:r>
      <w:proofErr w:type="gramStart"/>
      <w:r>
        <w:rPr>
          <w:sz w:val="20"/>
          <w:szCs w:val="20"/>
        </w:rPr>
        <w:t>propiedad,</w:t>
      </w:r>
      <w:proofErr w:type="gramEnd"/>
      <w:r>
        <w:rPr>
          <w:sz w:val="20"/>
          <w:szCs w:val="20"/>
        </w:rPr>
        <w:t xml:space="preserve"> es a través de un mutuo garantizado con una transmisión fiduciaria en garantía lo que constituye una garantía </w:t>
      </w:r>
      <w:proofErr w:type="spellStart"/>
      <w:r>
        <w:rPr>
          <w:sz w:val="20"/>
          <w:szCs w:val="20"/>
        </w:rPr>
        <w:t>autoliquidable</w:t>
      </w:r>
      <w:proofErr w:type="spellEnd"/>
      <w:r>
        <w:rPr>
          <w:sz w:val="20"/>
          <w:szCs w:val="20"/>
        </w:rPr>
        <w:t>.</w:t>
      </w:r>
    </w:p>
    <w:p w14:paraId="611ED493" w14:textId="77777777" w:rsidR="00CE4E63" w:rsidRDefault="00FA1C79">
      <w:pPr>
        <w:spacing w:after="120"/>
        <w:ind w:left="100"/>
        <w:jc w:val="both"/>
      </w:pPr>
      <w:r>
        <w:rPr>
          <w:sz w:val="20"/>
          <w:szCs w:val="20"/>
        </w:rPr>
        <w:t>II-El código Civil y Comercial define al fideicomiso en garantía y lo reglamenta admitiendo su utilización y permitiendo que el fiduciario sea beneficiario.</w:t>
      </w:r>
    </w:p>
    <w:p w14:paraId="76CDFA5E" w14:textId="77777777" w:rsidR="00CE4E63" w:rsidRDefault="00FA1C79">
      <w:pPr>
        <w:spacing w:after="120"/>
        <w:ind w:left="100"/>
        <w:jc w:val="both"/>
      </w:pPr>
      <w:r>
        <w:rPr>
          <w:sz w:val="20"/>
          <w:szCs w:val="20"/>
        </w:rPr>
        <w:t xml:space="preserve">III-Lo que diferencia este fideicomiso de otros es el ius </w:t>
      </w:r>
      <w:proofErr w:type="spellStart"/>
      <w:r>
        <w:rPr>
          <w:sz w:val="20"/>
          <w:szCs w:val="20"/>
        </w:rPr>
        <w:t>vendendi</w:t>
      </w:r>
      <w:proofErr w:type="spellEnd"/>
      <w:r>
        <w:rPr>
          <w:sz w:val="20"/>
          <w:szCs w:val="20"/>
        </w:rPr>
        <w:t xml:space="preserve"> del fiduciario que es un derecho legítimo regulado en los artículos 1688 y 1680 y se distingue entre las distintas clases de bienes.</w:t>
      </w:r>
    </w:p>
    <w:p w14:paraId="570AE8B9" w14:textId="77777777" w:rsidR="00CE4E63" w:rsidRDefault="00FA1C79">
      <w:pPr>
        <w:spacing w:after="120"/>
        <w:ind w:left="100"/>
        <w:jc w:val="both"/>
      </w:pPr>
      <w:r>
        <w:rPr>
          <w:sz w:val="20"/>
          <w:szCs w:val="20"/>
        </w:rPr>
        <w:t>IV-La eficacia práctica del fideicomiso en garantía y la prevención de eventuales disputas judiciales dependen de una adecuada técnica de redacción del contrato constitutivo, lo que se realiza con una amplia libertad fundada en la autonomía de la voluntad, donde el operador jurídico adquiera la mayor relevancia.</w:t>
      </w:r>
    </w:p>
    <w:p w14:paraId="588EF5B8" w14:textId="77777777" w:rsidR="00CE4E63" w:rsidRDefault="00FA1C79">
      <w:pPr>
        <w:spacing w:after="120"/>
        <w:ind w:left="100"/>
        <w:jc w:val="both"/>
      </w:pPr>
      <w:r>
        <w:rPr>
          <w:sz w:val="20"/>
          <w:szCs w:val="20"/>
        </w:rPr>
        <w:t xml:space="preserve">V-Cuando se celebra un fideicomiso en garantía, siempre está supeditado al contrato que está garantizando y forma parte de una red contractual en la cual habría una finalidad </w:t>
      </w:r>
      <w:proofErr w:type="spellStart"/>
      <w:r>
        <w:rPr>
          <w:sz w:val="20"/>
          <w:szCs w:val="20"/>
        </w:rPr>
        <w:t>supracontractual</w:t>
      </w:r>
      <w:proofErr w:type="spellEnd"/>
      <w:r>
        <w:rPr>
          <w:sz w:val="20"/>
          <w:szCs w:val="20"/>
        </w:rPr>
        <w:t xml:space="preserve"> que es común a todos los contratos que la estructuran, y por ello su tratamiento también se debe analizar a través de la regulación de los contratos conexos.</w:t>
      </w:r>
    </w:p>
    <w:p w14:paraId="7F757EFD" w14:textId="77777777" w:rsidR="00CE4E63" w:rsidRDefault="00FA1C79">
      <w:pPr>
        <w:pBdr>
          <w:left w:val="single" w:sz="18" w:space="6" w:color="9C7A2E"/>
        </w:pBdr>
        <w:spacing w:before="260" w:after="40"/>
        <w:ind w:left="100"/>
      </w:pPr>
      <w:r>
        <w:rPr>
          <w:b/>
          <w:bCs/>
          <w:color w:val="1F3864"/>
          <w:sz w:val="22"/>
          <w:szCs w:val="22"/>
        </w:rPr>
        <w:t>4. Trabajo Ojeda Giorgieff y Martínez</w:t>
      </w:r>
    </w:p>
    <w:p w14:paraId="5995A65F" w14:textId="77777777" w:rsidR="00CE4E63" w:rsidRDefault="00FA1C79">
      <w:pPr>
        <w:spacing w:after="60"/>
        <w:ind w:left="100"/>
      </w:pPr>
      <w:r>
        <w:rPr>
          <w:i/>
          <w:iCs/>
          <w:color w:val="555555"/>
          <w:sz w:val="19"/>
          <w:szCs w:val="19"/>
        </w:rPr>
        <w:t>"La Hipoteca Inversa como Alternativa Moderna de Financiación para los Sectores más Vulnerables" — Not. Emmanuel Miguel Ojeda Giorgieff y Not. Yamila Edith Martínez</w:t>
      </w:r>
    </w:p>
    <w:p w14:paraId="5D1C6B18" w14:textId="77777777" w:rsidR="00CE4E63" w:rsidRDefault="00FA1C79">
      <w:pPr>
        <w:spacing w:after="100"/>
        <w:ind w:left="100"/>
      </w:pPr>
      <w:r>
        <w:rPr>
          <w:b/>
          <w:bCs/>
          <w:color w:val="6B4E00"/>
          <w:sz w:val="20"/>
          <w:szCs w:val="20"/>
        </w:rPr>
        <w:t>Ponencias:</w:t>
      </w:r>
    </w:p>
    <w:p w14:paraId="264556BB" w14:textId="77777777" w:rsidR="00CE4E63" w:rsidRDefault="00FA1C79">
      <w:pPr>
        <w:spacing w:after="120"/>
        <w:ind w:left="100"/>
        <w:jc w:val="both"/>
      </w:pPr>
      <w:r>
        <w:rPr>
          <w:sz w:val="20"/>
          <w:szCs w:val="20"/>
        </w:rPr>
        <w:t>1) Se recomienda la recepción normativa de la hipoteca inversa como una herramienta jurídica positiva, que garantice el ingreso económico y el acceso a la vivienda digna, mejorando la calidad de vida de los adultos mayores y de las personas con discapacidad. Es fundamental nuestro rol como notarios propulsores de nuevas figuras con gran contenido social, destinadas a favorecer a uno de los sectores más vulnerables de la sociedad.</w:t>
      </w:r>
    </w:p>
    <w:p w14:paraId="4D1D03B2" w14:textId="77777777" w:rsidR="00CE4E63" w:rsidRDefault="00FA1C79">
      <w:pPr>
        <w:spacing w:after="120"/>
        <w:ind w:left="100"/>
        <w:jc w:val="both"/>
      </w:pPr>
      <w:r>
        <w:rPr>
          <w:sz w:val="20"/>
          <w:szCs w:val="20"/>
        </w:rPr>
        <w:lastRenderedPageBreak/>
        <w:t>2) La legislación argentina actual permite la celebración de mutuos con garantía hipotecaria, exigibles a partir de la muerte del mutuario. Sin embargo, su éxito dependerá de la forma de prever legalmente los desfasajes económicos que pudiere haber, a fin de evitar lesionar los derechos del acreedor y del deudor hipotecario, y de las interpretaciones doctrinarias y jurisprudenciales en torno a la no vulneración de la legítima por parte del tomador/deudor.</w:t>
      </w:r>
    </w:p>
    <w:p w14:paraId="6D23B39B" w14:textId="77777777" w:rsidR="00CE4E63" w:rsidRDefault="00FA1C79">
      <w:pPr>
        <w:spacing w:after="120"/>
        <w:ind w:left="100"/>
        <w:jc w:val="both"/>
      </w:pPr>
      <w:r>
        <w:rPr>
          <w:sz w:val="20"/>
          <w:szCs w:val="20"/>
        </w:rPr>
        <w:t>3) Podrá ser acreedor en esta clase de créditos cualquier persona humana o jurídica que acredite solvencia, siendo en principio las instituciones bancarias y financieras las adecuadas para ofrecer este tipo de contrato.</w:t>
      </w:r>
    </w:p>
    <w:p w14:paraId="0DAE2963" w14:textId="77777777" w:rsidR="00CE4E63" w:rsidRDefault="00FA1C79">
      <w:pPr>
        <w:spacing w:after="120"/>
        <w:ind w:left="100"/>
        <w:jc w:val="both"/>
      </w:pPr>
      <w:r>
        <w:rPr>
          <w:sz w:val="20"/>
          <w:szCs w:val="20"/>
        </w:rPr>
        <w:t>4) A fin de darle un mayor atractivo a esta figura, es recomendable que el Estado Nacional otorgue exenciones impositivas contemplando el monto de la renta, el valor del inmueble y su carácter de vivienda única, como así también se modifique la normativa del Banco Central de la República Argentina que prohíbe el otorgamiento de préstamos en moneda extranjera a personas o empresas que solo generen ingresos en pesos, a fin de potenciar la utilización de esta herramienta.</w:t>
      </w:r>
    </w:p>
    <w:p w14:paraId="6D7679FA" w14:textId="77777777" w:rsidR="00CE4E63" w:rsidRDefault="00FA1C79">
      <w:pPr>
        <w:pStyle w:val="Ttulo1"/>
        <w:pBdr>
          <w:bottom w:val="single" w:sz="8" w:space="4" w:color="1F3864"/>
        </w:pBdr>
        <w:spacing w:before="320" w:after="160"/>
      </w:pPr>
      <w:r>
        <w:rPr>
          <w:b/>
          <w:bCs/>
          <w:color w:val="1F3864"/>
          <w:sz w:val="26"/>
          <w:szCs w:val="26"/>
        </w:rPr>
        <w:t>Bloque 2 — Derecho real de superficie</w:t>
      </w:r>
    </w:p>
    <w:p w14:paraId="753262CE" w14:textId="77777777" w:rsidR="00CE4E63" w:rsidRDefault="00FA1C79">
      <w:pPr>
        <w:pBdr>
          <w:left w:val="single" w:sz="18" w:space="6" w:color="9C7A2E"/>
        </w:pBdr>
        <w:spacing w:before="260" w:after="40"/>
        <w:ind w:left="100"/>
      </w:pPr>
      <w:r>
        <w:rPr>
          <w:b/>
          <w:bCs/>
          <w:color w:val="1F3864"/>
          <w:sz w:val="22"/>
          <w:szCs w:val="22"/>
        </w:rPr>
        <w:t>5. Trabajo Becerra Vázquez</w:t>
      </w:r>
    </w:p>
    <w:p w14:paraId="290563C3" w14:textId="77777777" w:rsidR="00CE4E63" w:rsidRDefault="00FA1C79">
      <w:pPr>
        <w:spacing w:after="60"/>
        <w:ind w:left="100"/>
      </w:pPr>
      <w:r>
        <w:rPr>
          <w:i/>
          <w:iCs/>
          <w:color w:val="555555"/>
          <w:sz w:val="19"/>
          <w:szCs w:val="19"/>
        </w:rPr>
        <w:t>"El Derecho Real de Superficie como Motor Habitacional e Inmobiliario. Su Permeabilidad y Aplicaciones Prácticas" — Esc. Sofía V. Becerra Vázquez</w:t>
      </w:r>
    </w:p>
    <w:p w14:paraId="4ED0EB1C" w14:textId="77777777" w:rsidR="00CE4E63" w:rsidRDefault="00FA1C79">
      <w:pPr>
        <w:spacing w:after="100"/>
        <w:ind w:left="100"/>
      </w:pPr>
      <w:r>
        <w:rPr>
          <w:b/>
          <w:bCs/>
          <w:color w:val="6B4E00"/>
          <w:sz w:val="20"/>
          <w:szCs w:val="20"/>
        </w:rPr>
        <w:t>Ponencias:</w:t>
      </w:r>
    </w:p>
    <w:p w14:paraId="3FD85EA6" w14:textId="77777777" w:rsidR="00CE4E63" w:rsidRDefault="00FA1C79">
      <w:pPr>
        <w:spacing w:after="120"/>
        <w:ind w:left="100"/>
        <w:jc w:val="both"/>
      </w:pPr>
      <w:r>
        <w:rPr>
          <w:sz w:val="20"/>
          <w:szCs w:val="20"/>
        </w:rPr>
        <w:t>1. El derecho real de superficie representa una herramienta jurídica idónea para facilitar el acceso a la vivienda propia, impulsar emprendimientos inmobiliarios y evitar capitales improductivos.</w:t>
      </w:r>
    </w:p>
    <w:p w14:paraId="6AB3D919" w14:textId="77777777" w:rsidR="00CE4E63" w:rsidRDefault="00FA1C79">
      <w:pPr>
        <w:spacing w:after="120"/>
        <w:ind w:left="100"/>
        <w:jc w:val="both"/>
      </w:pPr>
      <w:r>
        <w:rPr>
          <w:sz w:val="20"/>
          <w:szCs w:val="20"/>
        </w:rPr>
        <w:t>2. El derecho real de superficie facilita la adquisición de la vivienda propia por reducir los costos de acceso siendo aplicable a distintas etapas de la vida.</w:t>
      </w:r>
    </w:p>
    <w:p w14:paraId="109C8946" w14:textId="77777777" w:rsidR="00CE4E63" w:rsidRDefault="00FA1C79">
      <w:pPr>
        <w:spacing w:after="120"/>
        <w:ind w:left="100"/>
        <w:jc w:val="both"/>
      </w:pPr>
      <w:r>
        <w:rPr>
          <w:sz w:val="20"/>
          <w:szCs w:val="20"/>
        </w:rPr>
        <w:t>3. El derecho real de superficie optimiza la eficiencia del capital en los desarrollos inmobiliarios al disminuir el desembolso inicial en la adquisición del suelo y habilitar esquemas alternativos de financiamiento.</w:t>
      </w:r>
    </w:p>
    <w:p w14:paraId="604AF933" w14:textId="77777777" w:rsidR="00CE4E63" w:rsidRDefault="00FA1C79">
      <w:pPr>
        <w:spacing w:after="120"/>
        <w:ind w:left="100"/>
        <w:jc w:val="both"/>
      </w:pPr>
      <w:r>
        <w:rPr>
          <w:sz w:val="20"/>
          <w:szCs w:val="20"/>
        </w:rPr>
        <w:t>4. El derecho real de superficie permite la puesta en valor de inmuebles improductivos sin exigir inversión directa ni asunción de riesgos operativos por parte del titular del suelo, manteniendo su titularidad.</w:t>
      </w:r>
    </w:p>
    <w:p w14:paraId="37471143" w14:textId="77777777" w:rsidR="00CE4E63" w:rsidRDefault="00FA1C79">
      <w:pPr>
        <w:spacing w:after="120"/>
        <w:ind w:left="100"/>
        <w:jc w:val="both"/>
      </w:pPr>
      <w:r>
        <w:rPr>
          <w:sz w:val="20"/>
          <w:szCs w:val="20"/>
        </w:rPr>
        <w:t>5. La transmisión de dominio con reserva del derecho real de superficie o con el cargo de constitución simultánea del derecho real de superficie configura una herramienta jurídica idónea para la estructuración y planificación patrimonial.</w:t>
      </w:r>
    </w:p>
    <w:p w14:paraId="3C6E1B38" w14:textId="77777777" w:rsidR="00CE4E63" w:rsidRDefault="00FA1C79">
      <w:pPr>
        <w:spacing w:after="120"/>
        <w:ind w:left="100"/>
        <w:jc w:val="both"/>
      </w:pPr>
      <w:r>
        <w:rPr>
          <w:sz w:val="20"/>
          <w:szCs w:val="20"/>
        </w:rPr>
        <w:t>6. Es aconsejable que el notariado asuma una función pedagógica y efectúe un asesoramiento activo frente a los requirentes sobre la viabilidad del derecho de superficie, al indagar, interpretar y calificar su voluntad.</w:t>
      </w:r>
    </w:p>
    <w:p w14:paraId="6717120D" w14:textId="77777777" w:rsidR="00CE4E63" w:rsidRDefault="00FA1C79">
      <w:pPr>
        <w:pBdr>
          <w:left w:val="single" w:sz="18" w:space="6" w:color="9C7A2E"/>
        </w:pBdr>
        <w:spacing w:before="260" w:after="40"/>
        <w:ind w:left="100"/>
      </w:pPr>
      <w:r>
        <w:rPr>
          <w:b/>
          <w:bCs/>
          <w:color w:val="1F3864"/>
          <w:sz w:val="22"/>
          <w:szCs w:val="22"/>
        </w:rPr>
        <w:t>6. Trabajo Mihura de Estrada</w:t>
      </w:r>
    </w:p>
    <w:p w14:paraId="7B1C6D56" w14:textId="77777777" w:rsidR="00CE4E63" w:rsidRDefault="00FA1C79">
      <w:pPr>
        <w:spacing w:after="60"/>
        <w:ind w:left="100"/>
      </w:pPr>
      <w:r>
        <w:rPr>
          <w:i/>
          <w:iCs/>
          <w:color w:val="555555"/>
          <w:sz w:val="19"/>
          <w:szCs w:val="19"/>
        </w:rPr>
        <w:t>"El Derecho de Superficie en Tierras del Estado: Herramienta Estratégica y Financiera para el Acceso a la Vivienda" — Esc. Bernardo Mihura de Estrada</w:t>
      </w:r>
    </w:p>
    <w:p w14:paraId="0C9B7CAC" w14:textId="77777777" w:rsidR="00CE4E63" w:rsidRDefault="00FA1C79">
      <w:pPr>
        <w:spacing w:after="100"/>
        <w:ind w:left="100"/>
      </w:pPr>
      <w:r>
        <w:rPr>
          <w:b/>
          <w:bCs/>
          <w:color w:val="6B4E00"/>
          <w:sz w:val="20"/>
          <w:szCs w:val="20"/>
        </w:rPr>
        <w:t>Ponencias:</w:t>
      </w:r>
    </w:p>
    <w:p w14:paraId="440A92D9" w14:textId="77777777" w:rsidR="00CE4E63" w:rsidRDefault="00FA1C79">
      <w:pPr>
        <w:spacing w:after="120"/>
        <w:ind w:left="100"/>
        <w:jc w:val="both"/>
      </w:pPr>
      <w:r>
        <w:rPr>
          <w:sz w:val="20"/>
          <w:szCs w:val="20"/>
        </w:rPr>
        <w:t>1. La constitución del Derecho Real de Superficie sobre inmuebles ociosos del Estado a favor de particulares, imponiendo el cargo de construir viviendas como condición resolutoria, es una herramienta jurídicamente viable que difiere el costo inicial del valor del suelo y promueve la construcción privada.</w:t>
      </w:r>
    </w:p>
    <w:p w14:paraId="64B069CB" w14:textId="77777777" w:rsidR="00CE4E63" w:rsidRDefault="00FA1C79">
      <w:pPr>
        <w:spacing w:after="120"/>
        <w:ind w:left="100"/>
        <w:jc w:val="both"/>
      </w:pPr>
      <w:r>
        <w:rPr>
          <w:sz w:val="20"/>
          <w:szCs w:val="20"/>
        </w:rPr>
        <w:t>2. La redacción del título constitutivo de la superficie exige una rigurosa ingeniería notarial preventiva para armonizar la extinción anticipada por incumplimiento con la subsistencia de los derechos de terceros (Art. 2125 CCyC) y la exclusión expresa de la indemnización al superficiario (Art. 2126 CCyC).</w:t>
      </w:r>
    </w:p>
    <w:p w14:paraId="5ED77E37" w14:textId="77777777" w:rsidR="00CE4E63" w:rsidRDefault="00FA1C79">
      <w:pPr>
        <w:spacing w:after="120"/>
        <w:ind w:left="100"/>
        <w:jc w:val="both"/>
      </w:pPr>
      <w:r>
        <w:rPr>
          <w:sz w:val="20"/>
          <w:szCs w:val="20"/>
        </w:rPr>
        <w:t>3. La registración de los boletos de compraventa en el marco del DNU 1017/2024 otorga oponibilidad frente a terceros y permite el uso de la Prenda de Créditos como garantía preferida para obtener financiamiento bancario directo desde la etapa de pozo.</w:t>
      </w:r>
    </w:p>
    <w:p w14:paraId="0C11EC49" w14:textId="77777777" w:rsidR="00CE4E63" w:rsidRDefault="00FA1C79">
      <w:pPr>
        <w:spacing w:after="120"/>
        <w:ind w:left="100"/>
        <w:jc w:val="both"/>
      </w:pPr>
      <w:r>
        <w:rPr>
          <w:sz w:val="20"/>
          <w:szCs w:val="20"/>
        </w:rPr>
        <w:t>4. La utilización de la Hipoteca Abierta Divisible permite fondear la construcción y facilita la asunción de deuda por parte de cada comprador por boleto mediante la figura de la delegación perfecta de la deuda, fragmentando el gravamen global al momento de la subdivisión y las respectivas escrituras traslativas.</w:t>
      </w:r>
    </w:p>
    <w:p w14:paraId="26A25A01" w14:textId="77777777" w:rsidR="00CE4E63" w:rsidRDefault="00FA1C79">
      <w:pPr>
        <w:spacing w:after="120"/>
        <w:ind w:left="100"/>
        <w:jc w:val="both"/>
      </w:pPr>
      <w:r>
        <w:rPr>
          <w:sz w:val="20"/>
          <w:szCs w:val="20"/>
        </w:rPr>
        <w:t>5. Conforme las resoluciones de las XXIX Jornadas Nacionales de Derecho Civil, la Propiedad Horizontal subsiste inalterada a pesar de la extinción parcial o total del derecho de superficie, permitiendo la convivencia en el mismo consorcio de titulares de dominio pleno (por redención) y titulares superficiarios temporales.</w:t>
      </w:r>
    </w:p>
    <w:p w14:paraId="3D6395A8" w14:textId="77777777" w:rsidR="00CE4E63" w:rsidRDefault="00FA1C79">
      <w:pPr>
        <w:pBdr>
          <w:left w:val="single" w:sz="18" w:space="6" w:color="9C7A2E"/>
        </w:pBdr>
        <w:spacing w:before="260" w:after="40"/>
        <w:ind w:left="100"/>
      </w:pPr>
      <w:r>
        <w:rPr>
          <w:b/>
          <w:bCs/>
          <w:color w:val="1F3864"/>
          <w:sz w:val="22"/>
          <w:szCs w:val="22"/>
        </w:rPr>
        <w:t>7. Trabajo Loser</w:t>
      </w:r>
    </w:p>
    <w:p w14:paraId="307117D6" w14:textId="77777777" w:rsidR="00CE4E63" w:rsidRDefault="00FA1C79">
      <w:pPr>
        <w:spacing w:after="60"/>
        <w:ind w:left="100"/>
      </w:pPr>
      <w:r>
        <w:rPr>
          <w:i/>
          <w:iCs/>
          <w:color w:val="555555"/>
          <w:sz w:val="19"/>
          <w:szCs w:val="19"/>
        </w:rPr>
        <w:lastRenderedPageBreak/>
        <w:t>"El Derecho Real de Superficie como Soporte de la Hipoteca Divisible" — Diego Ángel Loser</w:t>
      </w:r>
    </w:p>
    <w:p w14:paraId="7DAC435B" w14:textId="77777777" w:rsidR="00CE4E63" w:rsidRDefault="00FA1C79">
      <w:pPr>
        <w:spacing w:after="100"/>
        <w:ind w:left="100"/>
      </w:pPr>
      <w:r>
        <w:rPr>
          <w:b/>
          <w:bCs/>
          <w:color w:val="6B4E00"/>
          <w:sz w:val="20"/>
          <w:szCs w:val="20"/>
        </w:rPr>
        <w:t>Ponencias:</w:t>
      </w:r>
    </w:p>
    <w:p w14:paraId="54A0F95C" w14:textId="77777777" w:rsidR="00CE4E63" w:rsidRDefault="00FA1C79">
      <w:pPr>
        <w:spacing w:after="120"/>
        <w:ind w:left="100"/>
        <w:jc w:val="both"/>
      </w:pPr>
      <w:r>
        <w:rPr>
          <w:sz w:val="20"/>
          <w:szCs w:val="20"/>
        </w:rPr>
        <w:t>1) El derecho real de superficie es uno de los títulos legitimantes para la constitución de la hipoteca divisible, y presenta ventajas estructurales para el desarrollo de proyectos inmobiliarios durante su etapa de gestación, en tanto es, desde su nacimiento, un derecho real oponible erga omnes.</w:t>
      </w:r>
    </w:p>
    <w:p w14:paraId="3E8B2FA4" w14:textId="77777777" w:rsidR="00CE4E63" w:rsidRDefault="00FA1C79">
      <w:pPr>
        <w:spacing w:after="120"/>
        <w:ind w:left="100"/>
        <w:jc w:val="both"/>
      </w:pPr>
      <w:r>
        <w:rPr>
          <w:sz w:val="20"/>
          <w:szCs w:val="20"/>
        </w:rPr>
        <w:t>2) La hipoteca puede recaer sobre el derecho a construir o sobre la propiedad superficiaria ya existente; en el primer supuesto, una vez materializada la construcción, opera el mecanismo de subrogación real del art. 2194 del CCCN, que traslada la garantía del derecho a construir al objeto construido.</w:t>
      </w:r>
    </w:p>
    <w:p w14:paraId="7CAF6BA9" w14:textId="77777777" w:rsidR="00CE4E63" w:rsidRDefault="00FA1C79">
      <w:pPr>
        <w:spacing w:after="120"/>
        <w:ind w:left="100"/>
        <w:jc w:val="both"/>
      </w:pPr>
      <w:r>
        <w:rPr>
          <w:sz w:val="20"/>
          <w:szCs w:val="20"/>
        </w:rPr>
        <w:t>3) La especialidad en cuanto al objeto de la hipoteca sobre derecho de superficie exige identificar el título de la superficie, la persona del superficiario, el inmueble o parte material sobre el que recae, la extensión de las facultades conferidas y el plazo de extinción; cuando recae sobre una parte material del inmueble, requiere además una representación cartográfica idónea.</w:t>
      </w:r>
    </w:p>
    <w:p w14:paraId="70C21E5D" w14:textId="77777777" w:rsidR="00CE4E63" w:rsidRDefault="00FA1C79">
      <w:pPr>
        <w:spacing w:after="120"/>
        <w:ind w:left="100"/>
        <w:jc w:val="both"/>
      </w:pPr>
      <w:r>
        <w:rPr>
          <w:sz w:val="20"/>
          <w:szCs w:val="20"/>
        </w:rPr>
        <w:t>4) La indemnización en especie —consistente en la transmisión al superficiario del dominio pleno del inmueble o de una o varias unidades construidas— constituye un mecanismo idóneo para revitalizar la superficie de fuente contractual y debe contar con un adecuado correlato registral en los folios involucrados, a los fines de su oponibilidad.</w:t>
      </w:r>
    </w:p>
    <w:p w14:paraId="6213CC3F" w14:textId="77777777" w:rsidR="00CE4E63" w:rsidRDefault="00FA1C79">
      <w:pPr>
        <w:spacing w:after="120"/>
        <w:ind w:left="100"/>
        <w:jc w:val="both"/>
      </w:pPr>
      <w:r>
        <w:rPr>
          <w:sz w:val="20"/>
          <w:szCs w:val="20"/>
        </w:rPr>
        <w:t>5) Es posible que se pacte en el acto constitutivo que el inmueble continúe sujeto al régimen de la propiedad horizontal una vez extinta la superficie.</w:t>
      </w:r>
    </w:p>
    <w:p w14:paraId="2C8F6D79" w14:textId="77777777" w:rsidR="00CE4E63" w:rsidRDefault="00FA1C79">
      <w:pPr>
        <w:pBdr>
          <w:left w:val="single" w:sz="18" w:space="6" w:color="9C7A2E"/>
        </w:pBdr>
        <w:spacing w:before="260" w:after="40"/>
        <w:ind w:left="100"/>
      </w:pPr>
      <w:r>
        <w:rPr>
          <w:b/>
          <w:bCs/>
          <w:color w:val="1F3864"/>
          <w:sz w:val="22"/>
          <w:szCs w:val="22"/>
        </w:rPr>
        <w:t>8. Trabajo Lukaszewicz</w:t>
      </w:r>
    </w:p>
    <w:p w14:paraId="1567739B" w14:textId="77777777" w:rsidR="00CE4E63" w:rsidRDefault="00FA1C79">
      <w:pPr>
        <w:spacing w:after="60"/>
        <w:ind w:left="100"/>
      </w:pPr>
      <w:r>
        <w:rPr>
          <w:i/>
          <w:iCs/>
          <w:color w:val="555555"/>
          <w:sz w:val="19"/>
          <w:szCs w:val="19"/>
        </w:rPr>
        <w:t>"La Vivienda en el Tiempo. Ciclos Habitacionales. Propiedad Superficiaria y Financiación" — Esc. Sonia Lukaszewicz</w:t>
      </w:r>
    </w:p>
    <w:p w14:paraId="3CCAC113" w14:textId="77777777" w:rsidR="00CE4E63" w:rsidRDefault="00FA1C79">
      <w:pPr>
        <w:spacing w:after="100"/>
        <w:ind w:left="100"/>
      </w:pPr>
      <w:r>
        <w:rPr>
          <w:b/>
          <w:bCs/>
          <w:color w:val="6B4E00"/>
          <w:sz w:val="20"/>
          <w:szCs w:val="20"/>
        </w:rPr>
        <w:t>Ponencias:</w:t>
      </w:r>
    </w:p>
    <w:p w14:paraId="495DBF7B" w14:textId="77777777" w:rsidR="00CE4E63" w:rsidRDefault="00FA1C79">
      <w:pPr>
        <w:spacing w:after="120"/>
        <w:ind w:left="100"/>
        <w:jc w:val="both"/>
      </w:pPr>
      <w:r>
        <w:rPr>
          <w:sz w:val="20"/>
          <w:szCs w:val="20"/>
        </w:rPr>
        <w:t>1. El derecho real de superficie constituye una herramienta jurídicamente idónea para facilitar el acceso a la vivienda, porque permite adquirir una propiedad temporaria, exclusiva y transmisible, sin exigir que el adquirente financie también la adquisición perpetua del suelo. No se propone sustituir las formas tradicionales de propiedad, sino incorporar una alternativa que proporcione estabilidad habitacional y contenido patrimonial durante un período suficientemente extenso.</w:t>
      </w:r>
    </w:p>
    <w:p w14:paraId="2C87B9C3" w14:textId="77777777" w:rsidR="00CE4E63" w:rsidRDefault="00FA1C79">
      <w:pPr>
        <w:spacing w:after="120"/>
        <w:ind w:left="100"/>
        <w:jc w:val="both"/>
      </w:pPr>
      <w:r>
        <w:rPr>
          <w:sz w:val="20"/>
          <w:szCs w:val="20"/>
        </w:rPr>
        <w:t>2. La propiedad superficiaria permite vincular la vivienda con los distintos ciclos de la vida, pues un plazo de treinta o cuarenta años puede comprender una etapa laboral, familiar y personal durante la cual se requiere una vivienda estable, mientras que, al finalizar ese período, las necesidades habitacionales pueden haber cambiado. La recuperación del inmueble posibilita, a su vez, que una misma construcción sea destinada sucesivamente a nuevos ciclos habitacionales. La temporalidad, cuando es conocida y adecuadamente instrumentada, no equivale a precariedad.</w:t>
      </w:r>
    </w:p>
    <w:p w14:paraId="6DEE2CC7" w14:textId="77777777" w:rsidR="00CE4E63" w:rsidRDefault="00FA1C79">
      <w:pPr>
        <w:spacing w:after="120"/>
        <w:ind w:left="100"/>
        <w:jc w:val="both"/>
      </w:pPr>
      <w:r>
        <w:rPr>
          <w:sz w:val="20"/>
          <w:szCs w:val="20"/>
        </w:rPr>
        <w:t>3. La afectación de la propiedad superficiaria al régimen de propiedad horizontal permite individualizar y transmitir unidades funcionales destinadas a vivienda, con la autonomía jurídica necesaria para su comercialización. Cada adquirente incorpora así una propiedad diferenciada, con sus partes propias y comunes, cuyo valor deberá determinarse según el plazo residual de la superficie y no como si se tratara del dominio perpetuo del inmueble.</w:t>
      </w:r>
    </w:p>
    <w:p w14:paraId="6538BE4F" w14:textId="77777777" w:rsidR="00CE4E63" w:rsidRDefault="00FA1C79">
      <w:pPr>
        <w:spacing w:after="120"/>
        <w:ind w:left="100"/>
        <w:jc w:val="both"/>
        <w:rPr>
          <w:sz w:val="20"/>
          <w:szCs w:val="20"/>
        </w:rPr>
      </w:pPr>
      <w:r>
        <w:rPr>
          <w:sz w:val="20"/>
          <w:szCs w:val="20"/>
        </w:rPr>
        <w:t>4. Deben distinguirse la hipoteca constituida por el desarrollador sobre el derecho a construir o la propiedad superficiaria, dentro del régimen especial del Decreto 1017/2024, y la constituida por el adquirente sobre una unidad de propiedad horizontal superficiaria ya construida. Esta última se rige, en principio, por las normas generales del Código Civil y Comercial de la Nación; su ejecución transmite el derecho por el plazo residual, sin extinguir la superficie ni tornar aplicable la indemnización del artículo 2126. En consecuencia, el artículo 5 de la Resolución Conjunta 2/2025 debe interpretarse dentro del ámbito específico de las hipotecas constituidas a los efectos del título II del Decreto 1017/2024.</w:t>
      </w:r>
    </w:p>
    <w:p w14:paraId="65BEFBCB" w14:textId="29236641" w:rsidR="002D03A9" w:rsidRPr="002D03A9" w:rsidRDefault="002D03A9" w:rsidP="002D03A9">
      <w:pPr>
        <w:spacing w:after="120"/>
        <w:jc w:val="both"/>
        <w:rPr>
          <w:i/>
          <w:iCs/>
          <w:sz w:val="20"/>
          <w:szCs w:val="20"/>
        </w:rPr>
      </w:pPr>
      <w:r>
        <w:rPr>
          <w:i/>
          <w:iCs/>
          <w:sz w:val="20"/>
          <w:szCs w:val="20"/>
        </w:rPr>
        <w:t xml:space="preserve">  </w:t>
      </w:r>
      <w:r w:rsidRPr="00B24DCC">
        <w:rPr>
          <w:sz w:val="20"/>
          <w:szCs w:val="20"/>
        </w:rPr>
        <w:t>5</w:t>
      </w:r>
      <w:r w:rsidRPr="002D03A9">
        <w:rPr>
          <w:sz w:val="20"/>
          <w:szCs w:val="20"/>
        </w:rPr>
        <w:t xml:space="preserve"> </w:t>
      </w:r>
      <w:r w:rsidRPr="002D03A9">
        <w:rPr>
          <w:sz w:val="20"/>
          <w:szCs w:val="20"/>
        </w:rPr>
        <w:t xml:space="preserve">El derecho real de superficie puede constituirse sobre una parte materialmente determinada del inmueble —con </w:t>
      </w:r>
      <w:r w:rsidRPr="002D03A9">
        <w:rPr>
          <w:sz w:val="20"/>
          <w:szCs w:val="20"/>
        </w:rPr>
        <w:t xml:space="preserve">     </w:t>
      </w:r>
      <w:r w:rsidRPr="002D03A9">
        <w:rPr>
          <w:sz w:val="20"/>
          <w:szCs w:val="20"/>
        </w:rPr>
        <w:t>proyección en el espacio aéreo o en el subsuelo—, conforme lo autoriza expresamente el artículo 2116 del Código Civil y Comercial de la Nación.</w:t>
      </w:r>
    </w:p>
    <w:p w14:paraId="09DE5C36" w14:textId="77777777" w:rsidR="002D03A9" w:rsidRDefault="002D03A9">
      <w:pPr>
        <w:spacing w:after="120"/>
        <w:ind w:left="100"/>
        <w:jc w:val="both"/>
      </w:pPr>
    </w:p>
    <w:p w14:paraId="4CE9CBD1" w14:textId="6BCF32BE" w:rsidR="00CE4E63" w:rsidRDefault="00FA1C79">
      <w:pPr>
        <w:pStyle w:val="Ttulo1"/>
        <w:pBdr>
          <w:bottom w:val="single" w:sz="8" w:space="4" w:color="1F3864"/>
        </w:pBdr>
        <w:spacing w:before="320" w:after="160"/>
      </w:pPr>
      <w:r>
        <w:rPr>
          <w:b/>
          <w:bCs/>
          <w:color w:val="1F3864"/>
          <w:sz w:val="26"/>
          <w:szCs w:val="26"/>
        </w:rPr>
        <w:t>Bloque 3 — Vivienda, vejez y nuevas herramientas de financiación</w:t>
      </w:r>
    </w:p>
    <w:p w14:paraId="403CF914" w14:textId="77777777" w:rsidR="00CE4E63" w:rsidRDefault="00FA1C79">
      <w:pPr>
        <w:pBdr>
          <w:left w:val="single" w:sz="18" w:space="6" w:color="9C7A2E"/>
        </w:pBdr>
        <w:spacing w:before="260" w:after="40"/>
        <w:ind w:left="100"/>
      </w:pPr>
      <w:r>
        <w:rPr>
          <w:b/>
          <w:bCs/>
          <w:color w:val="1F3864"/>
          <w:sz w:val="22"/>
          <w:szCs w:val="22"/>
        </w:rPr>
        <w:t xml:space="preserve">9. Trabajo </w:t>
      </w:r>
      <w:proofErr w:type="spellStart"/>
      <w:r>
        <w:rPr>
          <w:b/>
          <w:bCs/>
          <w:color w:val="1F3864"/>
          <w:sz w:val="22"/>
          <w:szCs w:val="22"/>
        </w:rPr>
        <w:t>Reibestein</w:t>
      </w:r>
      <w:proofErr w:type="spellEnd"/>
      <w:r>
        <w:rPr>
          <w:b/>
          <w:bCs/>
          <w:color w:val="1F3864"/>
          <w:sz w:val="22"/>
          <w:szCs w:val="22"/>
        </w:rPr>
        <w:t xml:space="preserve"> y Scotti</w:t>
      </w:r>
    </w:p>
    <w:p w14:paraId="7E2C3A2C" w14:textId="77777777" w:rsidR="00CE4E63" w:rsidRDefault="00FA1C79">
      <w:pPr>
        <w:spacing w:after="60"/>
        <w:ind w:left="100"/>
      </w:pPr>
      <w:r>
        <w:rPr>
          <w:i/>
          <w:iCs/>
          <w:color w:val="555555"/>
          <w:sz w:val="19"/>
          <w:szCs w:val="19"/>
        </w:rPr>
        <w:t xml:space="preserve">"La Prenda en el Boleto de Compraventa y su Conversión a Hipoteca" — Santiago P. </w:t>
      </w:r>
      <w:proofErr w:type="spellStart"/>
      <w:r>
        <w:rPr>
          <w:i/>
          <w:iCs/>
          <w:color w:val="555555"/>
          <w:sz w:val="19"/>
          <w:szCs w:val="19"/>
        </w:rPr>
        <w:t>Reibestein</w:t>
      </w:r>
      <w:proofErr w:type="spellEnd"/>
      <w:r>
        <w:rPr>
          <w:i/>
          <w:iCs/>
          <w:color w:val="555555"/>
          <w:sz w:val="19"/>
          <w:szCs w:val="19"/>
        </w:rPr>
        <w:t xml:space="preserve"> y Sofía T. Scotti</w:t>
      </w:r>
    </w:p>
    <w:p w14:paraId="01C095E3" w14:textId="77777777" w:rsidR="00CE4E63" w:rsidRDefault="00FA1C79">
      <w:pPr>
        <w:spacing w:after="100"/>
        <w:ind w:left="100"/>
      </w:pPr>
      <w:r>
        <w:rPr>
          <w:b/>
          <w:bCs/>
          <w:color w:val="6B4E00"/>
          <w:sz w:val="20"/>
          <w:szCs w:val="20"/>
        </w:rPr>
        <w:t>Ponencias:</w:t>
      </w:r>
    </w:p>
    <w:p w14:paraId="5442C828" w14:textId="77777777" w:rsidR="00CE4E63" w:rsidRDefault="00FA1C79">
      <w:pPr>
        <w:spacing w:after="120"/>
        <w:ind w:left="100"/>
        <w:jc w:val="both"/>
      </w:pPr>
      <w:r>
        <w:rPr>
          <w:sz w:val="20"/>
          <w:szCs w:val="20"/>
        </w:rPr>
        <w:lastRenderedPageBreak/>
        <w:t>1. La prenda de créditos se establece como un instrumento de fomento del crédito, garantizando los derechos que nacen de un boleto de compraventa, absolutamente asequible para el deudor, y ejecutable por el acreedor.</w:t>
      </w:r>
    </w:p>
    <w:p w14:paraId="21058432" w14:textId="77777777" w:rsidR="00CE4E63" w:rsidRDefault="00FA1C79">
      <w:pPr>
        <w:spacing w:after="120"/>
        <w:ind w:left="100"/>
        <w:jc w:val="both"/>
      </w:pPr>
      <w:r>
        <w:rPr>
          <w:sz w:val="20"/>
          <w:szCs w:val="20"/>
        </w:rPr>
        <w:t>2. Constituida que fuera una prenda de créditos sobre un boleto de compraventa de emprendimientos en pozo, lo dado en garantía, es el crédito, que luego mutará sobre el inmueble que surja determinado en el documento de boleto.</w:t>
      </w:r>
    </w:p>
    <w:p w14:paraId="6BAD3E97" w14:textId="77777777" w:rsidR="00CE4E63" w:rsidRDefault="00FA1C79">
      <w:pPr>
        <w:spacing w:after="120"/>
        <w:ind w:left="100"/>
        <w:jc w:val="both"/>
      </w:pPr>
      <w:r>
        <w:rPr>
          <w:sz w:val="20"/>
          <w:szCs w:val="20"/>
        </w:rPr>
        <w:t>3. La garantía real de la prenda se reemplaza por la de hipoteca, de pleno derecho, sin necesidad de conformidad de las partes (deudor ni acreedor). La mutación opera de ese modo sabiendo cumplidos los requisitos de forma, la determinación del inmueble, y la convención de partes sobre el establecimiento de una garantía.</w:t>
      </w:r>
    </w:p>
    <w:p w14:paraId="70470B2F" w14:textId="77777777" w:rsidR="00CE4E63" w:rsidRDefault="00FA1C79">
      <w:pPr>
        <w:pBdr>
          <w:left w:val="single" w:sz="18" w:space="6" w:color="9C7A2E"/>
        </w:pBdr>
        <w:spacing w:before="260" w:after="40"/>
        <w:ind w:left="100"/>
      </w:pPr>
      <w:r>
        <w:rPr>
          <w:b/>
          <w:bCs/>
          <w:color w:val="1F3864"/>
          <w:sz w:val="22"/>
          <w:szCs w:val="22"/>
        </w:rPr>
        <w:t>10. Trabajo Risso</w:t>
      </w:r>
    </w:p>
    <w:p w14:paraId="7084EC4D" w14:textId="77777777" w:rsidR="00CE4E63" w:rsidRDefault="00FA1C79">
      <w:pPr>
        <w:spacing w:after="60"/>
        <w:ind w:left="100"/>
      </w:pPr>
      <w:r>
        <w:rPr>
          <w:i/>
          <w:iCs/>
          <w:color w:val="555555"/>
          <w:sz w:val="19"/>
          <w:szCs w:val="19"/>
        </w:rPr>
        <w:t xml:space="preserve">"El </w:t>
      </w:r>
      <w:proofErr w:type="spellStart"/>
      <w:r>
        <w:rPr>
          <w:i/>
          <w:iCs/>
          <w:color w:val="555555"/>
          <w:sz w:val="19"/>
          <w:szCs w:val="19"/>
        </w:rPr>
        <w:t>Pasanaku</w:t>
      </w:r>
      <w:proofErr w:type="spellEnd"/>
      <w:r>
        <w:rPr>
          <w:i/>
          <w:iCs/>
          <w:color w:val="555555"/>
          <w:sz w:val="19"/>
          <w:szCs w:val="19"/>
        </w:rPr>
        <w:t xml:space="preserve"> como Instrumento Notarial de Financiamiento Popular. Instrumentación Jurídico-Notarial del Ahorro Rotativo Comunitario en Argentina, Bolivia, Perú y México" — Esc. Federico W. Risso</w:t>
      </w:r>
    </w:p>
    <w:p w14:paraId="366A4B45" w14:textId="77777777" w:rsidR="00CE4E63" w:rsidRDefault="00FA1C79">
      <w:pPr>
        <w:spacing w:after="100"/>
        <w:ind w:left="100"/>
      </w:pPr>
      <w:r>
        <w:rPr>
          <w:b/>
          <w:bCs/>
          <w:color w:val="6B4E00"/>
          <w:sz w:val="20"/>
          <w:szCs w:val="20"/>
        </w:rPr>
        <w:t>Ponencias:</w:t>
      </w:r>
    </w:p>
    <w:p w14:paraId="26D6754D" w14:textId="77777777" w:rsidR="00CE4E63" w:rsidRDefault="00FA1C79">
      <w:pPr>
        <w:spacing w:before="100" w:after="60"/>
        <w:ind w:left="100"/>
      </w:pPr>
      <w:r>
        <w:rPr>
          <w:b/>
          <w:bCs/>
          <w:color w:val="1F3864"/>
          <w:sz w:val="20"/>
          <w:szCs w:val="20"/>
        </w:rPr>
        <w:t xml:space="preserve">PONENCIA PRIMERA. Licitud y plena </w:t>
      </w:r>
      <w:proofErr w:type="spellStart"/>
      <w:r>
        <w:rPr>
          <w:b/>
          <w:bCs/>
          <w:color w:val="1F3864"/>
          <w:sz w:val="20"/>
          <w:szCs w:val="20"/>
        </w:rPr>
        <w:t>instrumentabilidad</w:t>
      </w:r>
      <w:proofErr w:type="spellEnd"/>
      <w:r>
        <w:rPr>
          <w:b/>
          <w:bCs/>
          <w:color w:val="1F3864"/>
          <w:sz w:val="20"/>
          <w:szCs w:val="20"/>
        </w:rPr>
        <w:t xml:space="preserve"> notarial del ahorro rotativo comunitario en el derecho vigente.</w:t>
      </w:r>
    </w:p>
    <w:p w14:paraId="0C5EDFA5" w14:textId="77777777" w:rsidR="00CE4E63" w:rsidRDefault="00FA1C79">
      <w:pPr>
        <w:spacing w:after="120"/>
        <w:ind w:left="100"/>
        <w:jc w:val="both"/>
      </w:pPr>
      <w:r>
        <w:rPr>
          <w:sz w:val="20"/>
          <w:szCs w:val="20"/>
        </w:rPr>
        <w:t>Los sistemas de ahorro rotativo comunitario —</w:t>
      </w:r>
      <w:proofErr w:type="spellStart"/>
      <w:r>
        <w:rPr>
          <w:sz w:val="20"/>
          <w:szCs w:val="20"/>
        </w:rPr>
        <w:t>pasanaku</w:t>
      </w:r>
      <w:proofErr w:type="spellEnd"/>
      <w:r>
        <w:rPr>
          <w:sz w:val="20"/>
          <w:szCs w:val="20"/>
        </w:rPr>
        <w:t xml:space="preserve">, tanda, pandero o junta, vaca o pollito— constituyen contratos atípicos plenamente lícitos y exigibles en el derecho argentino vigente, en tanto reúnen los presupuestos generales de validez de los actos jurídicos y de los contratos (arts. 279, 958, 970 y </w:t>
      </w:r>
      <w:proofErr w:type="spellStart"/>
      <w:r>
        <w:rPr>
          <w:sz w:val="20"/>
          <w:szCs w:val="20"/>
        </w:rPr>
        <w:t>concs</w:t>
      </w:r>
      <w:proofErr w:type="spellEnd"/>
      <w:r>
        <w:rPr>
          <w:sz w:val="20"/>
          <w:szCs w:val="20"/>
        </w:rPr>
        <w:t xml:space="preserve">. CCyCN). Su instrumentación por escritura pública, con incorporación de un reglamento tipo como anexo, les confiere fecha cierta, </w:t>
      </w:r>
      <w:proofErr w:type="spellStart"/>
      <w:r>
        <w:rPr>
          <w:sz w:val="20"/>
          <w:szCs w:val="20"/>
        </w:rPr>
        <w:t>matricidad</w:t>
      </w:r>
      <w:proofErr w:type="spellEnd"/>
      <w:r>
        <w:rPr>
          <w:sz w:val="20"/>
          <w:szCs w:val="20"/>
        </w:rPr>
        <w:t>, fuerza probatoria privilegiada y oponibilidad, y habilita el acceso a la publicidad registral de las garantías reales que se constituyan. La formalización notarial no desnaturaliza la esencia comunitaria de la institución, sino que traslada la garantía de cumplimiento desde la mera presión social hacia el derecho. No se requiere reforma legislativa alguna para su operatividad inmediata: el Código Civil y Comercial de la Nación ofrece hoy el marco más completo de la región para convertir al ahorro popular en una verdadera herramienta de acceso al crédito y a la vivienda.</w:t>
      </w:r>
    </w:p>
    <w:p w14:paraId="2EB67A29" w14:textId="77777777" w:rsidR="00CE4E63" w:rsidRDefault="00FA1C79">
      <w:pPr>
        <w:spacing w:before="100" w:after="60"/>
        <w:ind w:left="100"/>
      </w:pPr>
      <w:r>
        <w:rPr>
          <w:b/>
          <w:bCs/>
          <w:color w:val="1F3864"/>
          <w:sz w:val="20"/>
          <w:szCs w:val="20"/>
        </w:rPr>
        <w:t>PONENCIA SEGUNDA. El dominio revocable como garantía natural del beneficiario anticipado; el fideicomiso como alternativa de máxima seguridad.</w:t>
      </w:r>
    </w:p>
    <w:p w14:paraId="297939BB" w14:textId="77777777" w:rsidR="00CE4E63" w:rsidRDefault="00FA1C79">
      <w:pPr>
        <w:spacing w:after="120"/>
        <w:ind w:left="100"/>
        <w:jc w:val="both"/>
      </w:pPr>
      <w:r>
        <w:rPr>
          <w:sz w:val="20"/>
          <w:szCs w:val="20"/>
        </w:rPr>
        <w:t xml:space="preserve">El problema central del ahorro rotativo —el participante que recibe el pozo en forma anticipada y mantiene cuotas pendientes— admite solución mediante la constitución simultánea de derechos reales sobre el inmueble adquirido. Entre las figuras aplicables (dominio revocable, fideicomiso, usufructo con reserva de nuda propiedad, hipoteca a favor del grupo y derecho real de superficie), el dominio revocable con condición resolutoria expresa e inscripta (arts. 1965 a 1969 CCyCN) es la más precisa y adecuada para el </w:t>
      </w:r>
      <w:proofErr w:type="spellStart"/>
      <w:r>
        <w:rPr>
          <w:sz w:val="20"/>
          <w:szCs w:val="20"/>
        </w:rPr>
        <w:t>pasanaku</w:t>
      </w:r>
      <w:proofErr w:type="spellEnd"/>
      <w:r>
        <w:rPr>
          <w:sz w:val="20"/>
          <w:szCs w:val="20"/>
        </w:rPr>
        <w:t xml:space="preserve"> inmobiliario: producido el incumplimiento, el dominio revierte al grupo o al vehículo que lo representa, con oponibilidad a terceros desde la inscripción. El fideicomiso de administración y garantía (arts. 1666 a 1707 CCyCN) es la alternativa más versátil y segura —recomendable cuando el grupo es numeroso o el valor del inmueble es significativo— por la separación patrimonial que consagra el art. 1685 CCyCN frente a los acreedores del fiduciario y del fiduciante. Se recomienda a los escribanos la adopción del protocolo de actuación en cinco etapas propuesto en el trabajo: constitución, sorteo con acta, adquisición con garantía simultánea, administración documentada y cancelación con consolidación del dominio pleno.</w:t>
      </w:r>
    </w:p>
    <w:p w14:paraId="2AA895AC" w14:textId="77777777" w:rsidR="00CE4E63" w:rsidRDefault="00FA1C79">
      <w:pPr>
        <w:spacing w:before="100" w:after="60"/>
        <w:ind w:left="100"/>
      </w:pPr>
      <w:r>
        <w:rPr>
          <w:b/>
          <w:bCs/>
          <w:color w:val="1F3864"/>
          <w:sz w:val="20"/>
          <w:szCs w:val="20"/>
        </w:rPr>
        <w:t xml:space="preserve">PONENCIA TERCERA. El notario-administrador y la conveniencia de una regulación específica de fomento (de lege </w:t>
      </w:r>
      <w:proofErr w:type="spellStart"/>
      <w:r>
        <w:rPr>
          <w:b/>
          <w:bCs/>
          <w:color w:val="1F3864"/>
          <w:sz w:val="20"/>
          <w:szCs w:val="20"/>
        </w:rPr>
        <w:t>ferenda</w:t>
      </w:r>
      <w:proofErr w:type="spellEnd"/>
      <w:r>
        <w:rPr>
          <w:b/>
          <w:bCs/>
          <w:color w:val="1F3864"/>
          <w:sz w:val="20"/>
          <w:szCs w:val="20"/>
        </w:rPr>
        <w:t>).</w:t>
      </w:r>
    </w:p>
    <w:p w14:paraId="2082C00D" w14:textId="77777777" w:rsidR="00CE4E63" w:rsidRDefault="00FA1C79">
      <w:pPr>
        <w:spacing w:after="120"/>
        <w:ind w:left="100"/>
        <w:jc w:val="both"/>
      </w:pPr>
      <w:r>
        <w:rPr>
          <w:sz w:val="20"/>
          <w:szCs w:val="20"/>
        </w:rPr>
        <w:t xml:space="preserve">El escribano está llamado a un rol central en la formalización del ahorro popular: no solo como redactor y autorizante, sino como asesor imparcial del grupo y, por designación de las partes, como administrador del sistema —figura del "notario-administrador"— recaudando aportes, presenciando sorteos y documentando cada distribución del pozo, con rendición de cuentas periódica. Se propone que el Colegio de Escribanos de la Ciudad de Buenos Aires elabore y difunda un reglamento tipo del </w:t>
      </w:r>
      <w:proofErr w:type="spellStart"/>
      <w:r>
        <w:rPr>
          <w:sz w:val="20"/>
          <w:szCs w:val="20"/>
        </w:rPr>
        <w:t>pasanaku</w:t>
      </w:r>
      <w:proofErr w:type="spellEnd"/>
      <w:r>
        <w:rPr>
          <w:sz w:val="20"/>
          <w:szCs w:val="20"/>
        </w:rPr>
        <w:t xml:space="preserve"> inmobiliario y directivas de actuación para su protocolización. De lege </w:t>
      </w:r>
      <w:proofErr w:type="spellStart"/>
      <w:r>
        <w:rPr>
          <w:sz w:val="20"/>
          <w:szCs w:val="20"/>
        </w:rPr>
        <w:t>ferenda</w:t>
      </w:r>
      <w:proofErr w:type="spellEnd"/>
      <w:r>
        <w:rPr>
          <w:sz w:val="20"/>
          <w:szCs w:val="20"/>
        </w:rPr>
        <w:t>, se propicia la sanción de una regulación específica y mínima del ahorro rotativo comunitario que reconozca su especificidad, fije requisitos básicos de formalización, deslinde la figura de la captación de fondos del público y de los planes de ahorro sujetos a fiscalización de la IGJ, y consagre un tratamiento tributario de fomento —en especial, exenciones o alícuotas reducidas en el impuesto de sellos cuando el destino sea la vivienda única, familiar y de ocupación permanente—, como política de inclusión financiera y de acceso a la vivienda.</w:t>
      </w:r>
    </w:p>
    <w:p w14:paraId="530E8106" w14:textId="77777777" w:rsidR="00CE4E63" w:rsidRDefault="00FA1C79">
      <w:pPr>
        <w:pBdr>
          <w:left w:val="single" w:sz="18" w:space="6" w:color="9C7A2E"/>
        </w:pBdr>
        <w:spacing w:before="260" w:after="40"/>
        <w:ind w:left="100"/>
      </w:pPr>
      <w:r>
        <w:rPr>
          <w:b/>
          <w:bCs/>
          <w:color w:val="1F3864"/>
          <w:sz w:val="22"/>
          <w:szCs w:val="22"/>
        </w:rPr>
        <w:t>11. Trabajo Girard</w:t>
      </w:r>
    </w:p>
    <w:p w14:paraId="6E7895E6" w14:textId="77777777" w:rsidR="00CE4E63" w:rsidRDefault="00FA1C79">
      <w:pPr>
        <w:spacing w:after="60"/>
        <w:ind w:left="100"/>
      </w:pPr>
      <w:r>
        <w:rPr>
          <w:i/>
          <w:iCs/>
          <w:color w:val="555555"/>
          <w:sz w:val="19"/>
          <w:szCs w:val="19"/>
        </w:rPr>
        <w:t xml:space="preserve">"Vivir Más, Vivir Distinto: una Nueva Arquitectura Jurídica para Financiar el Senior </w:t>
      </w:r>
      <w:proofErr w:type="gramStart"/>
      <w:r>
        <w:rPr>
          <w:i/>
          <w:iCs/>
          <w:color w:val="555555"/>
          <w:sz w:val="19"/>
          <w:szCs w:val="19"/>
        </w:rPr>
        <w:t>Living</w:t>
      </w:r>
      <w:proofErr w:type="gramEnd"/>
      <w:r>
        <w:rPr>
          <w:i/>
          <w:iCs/>
          <w:color w:val="555555"/>
          <w:sz w:val="19"/>
          <w:szCs w:val="19"/>
        </w:rPr>
        <w:t xml:space="preserve">. Fideicomiso, Derecho de Uso y </w:t>
      </w:r>
      <w:proofErr w:type="spellStart"/>
      <w:r>
        <w:rPr>
          <w:i/>
          <w:iCs/>
          <w:color w:val="555555"/>
          <w:sz w:val="19"/>
          <w:szCs w:val="19"/>
        </w:rPr>
        <w:t>Tokenización</w:t>
      </w:r>
      <w:proofErr w:type="spellEnd"/>
      <w:r>
        <w:rPr>
          <w:i/>
          <w:iCs/>
          <w:color w:val="555555"/>
          <w:sz w:val="19"/>
          <w:szCs w:val="19"/>
        </w:rPr>
        <w:t xml:space="preserve"> para la Nueva Longevidad" — Esc. María Eugenia Girard</w:t>
      </w:r>
    </w:p>
    <w:p w14:paraId="231B86C7" w14:textId="77777777" w:rsidR="00CE4E63" w:rsidRDefault="00FA1C79">
      <w:pPr>
        <w:spacing w:after="100"/>
        <w:ind w:left="100"/>
      </w:pPr>
      <w:r>
        <w:rPr>
          <w:b/>
          <w:bCs/>
          <w:color w:val="6B4E00"/>
          <w:sz w:val="20"/>
          <w:szCs w:val="20"/>
        </w:rPr>
        <w:t>Ponencias:</w:t>
      </w:r>
    </w:p>
    <w:p w14:paraId="720E3B42" w14:textId="77777777" w:rsidR="00CE4E63" w:rsidRDefault="00FA1C79">
      <w:pPr>
        <w:spacing w:before="100" w:after="60"/>
        <w:ind w:left="100"/>
      </w:pPr>
      <w:r>
        <w:rPr>
          <w:b/>
          <w:bCs/>
          <w:color w:val="1F3864"/>
          <w:sz w:val="20"/>
          <w:szCs w:val="20"/>
        </w:rPr>
        <w:t xml:space="preserve">PRIMERA — Fideicomiso como vehículo para emprendimientos de senior </w:t>
      </w:r>
      <w:proofErr w:type="gramStart"/>
      <w:r>
        <w:rPr>
          <w:b/>
          <w:bCs/>
          <w:color w:val="1F3864"/>
          <w:sz w:val="20"/>
          <w:szCs w:val="20"/>
        </w:rPr>
        <w:t>living</w:t>
      </w:r>
      <w:proofErr w:type="gramEnd"/>
      <w:r>
        <w:rPr>
          <w:b/>
          <w:bCs/>
          <w:color w:val="1F3864"/>
          <w:sz w:val="20"/>
          <w:szCs w:val="20"/>
        </w:rPr>
        <w:t>.</w:t>
      </w:r>
    </w:p>
    <w:p w14:paraId="2704514F" w14:textId="77777777" w:rsidR="00CE4E63" w:rsidRDefault="00FA1C79">
      <w:pPr>
        <w:spacing w:after="120"/>
        <w:ind w:left="100"/>
        <w:jc w:val="both"/>
      </w:pPr>
      <w:r>
        <w:rPr>
          <w:sz w:val="20"/>
          <w:szCs w:val="20"/>
        </w:rPr>
        <w:t xml:space="preserve">El fideicomiso es un vehículo jurídico idóneo para estructurar emprendimientos de </w:t>
      </w:r>
      <w:proofErr w:type="spellStart"/>
      <w:r>
        <w:rPr>
          <w:sz w:val="20"/>
          <w:szCs w:val="20"/>
        </w:rPr>
        <w:t>co-housing</w:t>
      </w:r>
      <w:proofErr w:type="spellEnd"/>
      <w:r>
        <w:rPr>
          <w:sz w:val="20"/>
          <w:szCs w:val="20"/>
        </w:rPr>
        <w:t xml:space="preserve"> o </w:t>
      </w:r>
      <w:proofErr w:type="spellStart"/>
      <w:r>
        <w:rPr>
          <w:sz w:val="20"/>
          <w:szCs w:val="20"/>
        </w:rPr>
        <w:t>co-</w:t>
      </w:r>
      <w:proofErr w:type="gramStart"/>
      <w:r>
        <w:rPr>
          <w:sz w:val="20"/>
          <w:szCs w:val="20"/>
        </w:rPr>
        <w:t>living</w:t>
      </w:r>
      <w:proofErr w:type="spellEnd"/>
      <w:proofErr w:type="gramEnd"/>
      <w:r>
        <w:rPr>
          <w:sz w:val="20"/>
          <w:szCs w:val="20"/>
        </w:rPr>
        <w:t xml:space="preserve"> destinados a personas mayores, al permitir un patrimonio separado y la articulación del derecho personal de uso con un derecho </w:t>
      </w:r>
      <w:r>
        <w:rPr>
          <w:sz w:val="20"/>
          <w:szCs w:val="20"/>
        </w:rPr>
        <w:lastRenderedPageBreak/>
        <w:t>económico patrimonial. El contrato deberá respetar el plazo máximo del artículo 1668 CCyC y prever expresamente, para su extinción, el destino de los bienes, el fideicomisario, los derechos económicos pendientes y, en su caso, la continuidad o reorganización del emprendimiento.</w:t>
      </w:r>
    </w:p>
    <w:p w14:paraId="6BB000C3" w14:textId="77777777" w:rsidR="00CE4E63" w:rsidRDefault="00FA1C79">
      <w:pPr>
        <w:spacing w:before="100" w:after="60"/>
        <w:ind w:left="100"/>
      </w:pPr>
      <w:r>
        <w:rPr>
          <w:b/>
          <w:bCs/>
          <w:color w:val="1F3864"/>
          <w:sz w:val="20"/>
          <w:szCs w:val="20"/>
        </w:rPr>
        <w:t>SEGUNDA — Escisión entre el derecho de uso y el derecho económico.</w:t>
      </w:r>
    </w:p>
    <w:p w14:paraId="5A1A3A77" w14:textId="77777777" w:rsidR="00CE4E63" w:rsidRDefault="00FA1C79">
      <w:pPr>
        <w:spacing w:after="120"/>
        <w:ind w:left="100"/>
        <w:jc w:val="both"/>
      </w:pPr>
      <w:r>
        <w:rPr>
          <w:sz w:val="20"/>
          <w:szCs w:val="20"/>
        </w:rPr>
        <w:t>Es jurídicamente admisible separar el derecho personalísimo de uso y goce del residente del derecho económico patrimonial derivado del aporte al fideicomiso. Ambos pueden pertenecer a personas distintas, sin que el derecho económico confiera ocupación. La extinción del uso no extingue necesariamente el derecho económico y sus causales deberán determinarse y calificarse según su naturaleza: fallecimiento, pérdida objetiva de elegibilidad, incumplimiento grave o desvinculación voluntaria.</w:t>
      </w:r>
    </w:p>
    <w:p w14:paraId="3B41CA5C" w14:textId="77777777" w:rsidR="00CE4E63" w:rsidRDefault="00FA1C79">
      <w:pPr>
        <w:spacing w:before="100" w:after="60"/>
        <w:ind w:left="100"/>
      </w:pPr>
      <w:r>
        <w:rPr>
          <w:b/>
          <w:bCs/>
          <w:color w:val="1F3864"/>
          <w:sz w:val="20"/>
          <w:szCs w:val="20"/>
        </w:rPr>
        <w:t>TERCERA — Autonomía personal, elegibilidad y extinción del derecho de uso.</w:t>
      </w:r>
    </w:p>
    <w:p w14:paraId="65FD112C" w14:textId="77777777" w:rsidR="00CE4E63" w:rsidRDefault="00FA1C79">
      <w:pPr>
        <w:spacing w:after="120"/>
        <w:ind w:left="100"/>
        <w:jc w:val="both"/>
      </w:pPr>
      <w:r>
        <w:rPr>
          <w:sz w:val="20"/>
          <w:szCs w:val="20"/>
        </w:rPr>
        <w:t>Las condiciones de acceso y permanencia deben ser objetivas, razonables, predeterminadas y compatibles con la dignidad y autonomía de las personas mayores. La pérdida de elegibilidad deberá someterse a un procedimiento preestablecido con verificación objetiva, información, plazo de adecuación e intervención profesional y de apoyos cuando corresponda. Es conveniente instrumentar notarialmente la voluntad anticipada del residente respecto de esas condiciones y consecuencias, en el marco de la autonomía personal y la autoprotección.</w:t>
      </w:r>
    </w:p>
    <w:p w14:paraId="3888B873" w14:textId="77777777" w:rsidR="00CE4E63" w:rsidRDefault="00FA1C79">
      <w:pPr>
        <w:spacing w:before="100" w:after="60"/>
        <w:ind w:left="100"/>
      </w:pPr>
      <w:r>
        <w:rPr>
          <w:b/>
          <w:bCs/>
          <w:color w:val="1F3864"/>
          <w:sz w:val="20"/>
          <w:szCs w:val="20"/>
        </w:rPr>
        <w:t xml:space="preserve">CUARTA — Representación digital y </w:t>
      </w:r>
      <w:proofErr w:type="spellStart"/>
      <w:r>
        <w:rPr>
          <w:b/>
          <w:bCs/>
          <w:color w:val="1F3864"/>
          <w:sz w:val="20"/>
          <w:szCs w:val="20"/>
        </w:rPr>
        <w:t>tokenización</w:t>
      </w:r>
      <w:proofErr w:type="spellEnd"/>
      <w:r>
        <w:rPr>
          <w:b/>
          <w:bCs/>
          <w:color w:val="1F3864"/>
          <w:sz w:val="20"/>
          <w:szCs w:val="20"/>
        </w:rPr>
        <w:t xml:space="preserve"> del derecho económico.</w:t>
      </w:r>
    </w:p>
    <w:p w14:paraId="7018EA18" w14:textId="77777777" w:rsidR="00CE4E63" w:rsidRDefault="00FA1C79">
      <w:pPr>
        <w:spacing w:after="120"/>
        <w:ind w:left="100"/>
        <w:jc w:val="both"/>
      </w:pPr>
      <w:r>
        <w:rPr>
          <w:sz w:val="20"/>
          <w:szCs w:val="20"/>
        </w:rPr>
        <w:t xml:space="preserve">El derecho económico de un fideicomiso no financiero de senior </w:t>
      </w:r>
      <w:proofErr w:type="gramStart"/>
      <w:r>
        <w:rPr>
          <w:sz w:val="20"/>
          <w:szCs w:val="20"/>
        </w:rPr>
        <w:t>living</w:t>
      </w:r>
      <w:proofErr w:type="gramEnd"/>
      <w:r>
        <w:rPr>
          <w:sz w:val="20"/>
          <w:szCs w:val="20"/>
        </w:rPr>
        <w:t xml:space="preserve"> puede representarse digitalmente mediante tecnologías de registro distribuido, sin comprender el derecho personalísimo de uso. La </w:t>
      </w:r>
      <w:proofErr w:type="spellStart"/>
      <w:r>
        <w:rPr>
          <w:sz w:val="20"/>
          <w:szCs w:val="20"/>
        </w:rPr>
        <w:t>tokenización</w:t>
      </w:r>
      <w:proofErr w:type="spellEnd"/>
      <w:r>
        <w:rPr>
          <w:sz w:val="20"/>
          <w:szCs w:val="20"/>
        </w:rPr>
        <w:t xml:space="preserve"> no altera la naturaleza del derecho ni crea un derecho real sobre los bienes fideicomitidos; deberá asegurar identificación, trazabilidad y oponibilidad y considerar la normativa del mercado de capitales para evitar su encuadre inadvertido como oferta pública de valores negociables.</w:t>
      </w:r>
    </w:p>
    <w:p w14:paraId="06D97E27" w14:textId="77777777" w:rsidR="00CE4E63" w:rsidRDefault="00FA1C79">
      <w:pPr>
        <w:spacing w:before="100" w:after="60"/>
        <w:ind w:left="100"/>
      </w:pPr>
      <w:r>
        <w:rPr>
          <w:b/>
          <w:bCs/>
          <w:color w:val="1F3864"/>
          <w:sz w:val="20"/>
          <w:szCs w:val="20"/>
        </w:rPr>
        <w:t>QUINTA — Intervención notarial y ejecución tecnológica.</w:t>
      </w:r>
    </w:p>
    <w:p w14:paraId="60C95324" w14:textId="77777777" w:rsidR="00CE4E63" w:rsidRDefault="00FA1C79">
      <w:pPr>
        <w:spacing w:after="120"/>
        <w:ind w:left="100"/>
        <w:jc w:val="both"/>
      </w:pPr>
      <w:r>
        <w:rPr>
          <w:sz w:val="20"/>
          <w:szCs w:val="20"/>
        </w:rPr>
        <w:t>Las tecnologías de registro distribuido y los contratos inteligentes no sustituyen la intervención jurídica. El notario puede actuar como tercero de confianza u "oráculo jurídico", constatando y calificando hechos y actos relevantes y proporcionando evidencia idónea para activar procesos automatizados. La trazabilidad tecnológica complementa, pero no sustituye, la fe pública, las exigencias de instrumentación y fecha cierta ni la rendición de cuentas fiduciaria.</w:t>
      </w:r>
    </w:p>
    <w:p w14:paraId="26877607" w14:textId="77777777" w:rsidR="00CE4E63" w:rsidRDefault="00FA1C79">
      <w:pPr>
        <w:pBdr>
          <w:left w:val="single" w:sz="18" w:space="6" w:color="9C7A2E"/>
        </w:pBdr>
        <w:spacing w:before="260" w:after="40"/>
        <w:ind w:left="100"/>
      </w:pPr>
      <w:r>
        <w:rPr>
          <w:b/>
          <w:bCs/>
          <w:color w:val="1F3864"/>
          <w:sz w:val="22"/>
          <w:szCs w:val="22"/>
        </w:rPr>
        <w:t>12. Trabajo Becerra Vázquez, Celentano y Risso</w:t>
      </w:r>
    </w:p>
    <w:p w14:paraId="35C7BE3D" w14:textId="77777777" w:rsidR="00CE4E63" w:rsidRDefault="00FA1C79">
      <w:pPr>
        <w:spacing w:after="60"/>
        <w:ind w:left="100"/>
      </w:pPr>
      <w:r>
        <w:rPr>
          <w:i/>
          <w:iCs/>
          <w:color w:val="555555"/>
          <w:sz w:val="19"/>
          <w:szCs w:val="19"/>
        </w:rPr>
        <w:t xml:space="preserve">"Vivienda, Liquidez y Vejez: Tres Instrumentos Notariales de Financiación Frente al Envejecimiento Poblacional" — </w:t>
      </w:r>
      <w:proofErr w:type="spellStart"/>
      <w:r>
        <w:rPr>
          <w:i/>
          <w:iCs/>
          <w:color w:val="555555"/>
          <w:sz w:val="19"/>
          <w:szCs w:val="19"/>
        </w:rPr>
        <w:t>Escs</w:t>
      </w:r>
      <w:proofErr w:type="spellEnd"/>
      <w:r>
        <w:rPr>
          <w:i/>
          <w:iCs/>
          <w:color w:val="555555"/>
          <w:sz w:val="19"/>
          <w:szCs w:val="19"/>
        </w:rPr>
        <w:t>. Sofía Victoria Becerra Vázquez, Daniela Micaela Celentano y Federico Walter Risso</w:t>
      </w:r>
    </w:p>
    <w:p w14:paraId="4AD9FFE1" w14:textId="77777777" w:rsidR="00CE4E63" w:rsidRDefault="00FA1C79">
      <w:pPr>
        <w:spacing w:after="100"/>
        <w:ind w:left="100"/>
      </w:pPr>
      <w:r>
        <w:rPr>
          <w:b/>
          <w:bCs/>
          <w:color w:val="6B4E00"/>
          <w:sz w:val="20"/>
          <w:szCs w:val="20"/>
        </w:rPr>
        <w:t>Ponencias:</w:t>
      </w:r>
    </w:p>
    <w:p w14:paraId="283A2CC9" w14:textId="77777777" w:rsidR="00CE4E63" w:rsidRDefault="00FA1C79">
      <w:pPr>
        <w:spacing w:before="100" w:after="60"/>
        <w:ind w:left="100"/>
      </w:pPr>
      <w:r>
        <w:rPr>
          <w:b/>
          <w:bCs/>
          <w:color w:val="1F3864"/>
          <w:sz w:val="20"/>
          <w:szCs w:val="20"/>
        </w:rPr>
        <w:t>Parte general</w:t>
      </w:r>
    </w:p>
    <w:p w14:paraId="5AD4F0E3" w14:textId="77777777" w:rsidR="00CE4E63" w:rsidRDefault="00FA1C79">
      <w:pPr>
        <w:spacing w:after="120"/>
        <w:ind w:left="100"/>
        <w:jc w:val="both"/>
      </w:pPr>
      <w:r>
        <w:rPr>
          <w:sz w:val="20"/>
          <w:szCs w:val="20"/>
        </w:rPr>
        <w:t>El acceso a la vivienda comprende tanto su adquisición como la posibilidad de sostenerla en el tiempo. Por ello, es necesario adoptar mecanismos alternativos de financiamiento -como la hipoteca inversa, el fideicomiso en garantía o la renta vitalicia- que permitan convertir un activo inmobiliario en liquidez o en una renta periódica para atender las necesidades de subsistencia, sin que el propietario deba resignar el uso de su vivienda.</w:t>
      </w:r>
    </w:p>
    <w:p w14:paraId="362A1473" w14:textId="77777777" w:rsidR="00CE4E63" w:rsidRDefault="00FA1C79">
      <w:pPr>
        <w:spacing w:before="100" w:after="60"/>
        <w:ind w:left="100"/>
      </w:pPr>
      <w:r>
        <w:rPr>
          <w:b/>
          <w:bCs/>
          <w:color w:val="1F3864"/>
          <w:sz w:val="20"/>
          <w:szCs w:val="20"/>
        </w:rPr>
        <w:t>Fideicomiso de garantía</w:t>
      </w:r>
    </w:p>
    <w:p w14:paraId="075F4D68" w14:textId="77777777" w:rsidR="00CE4E63" w:rsidRDefault="00FA1C79">
      <w:pPr>
        <w:spacing w:after="120"/>
        <w:ind w:left="100"/>
        <w:jc w:val="both"/>
      </w:pPr>
      <w:r>
        <w:rPr>
          <w:sz w:val="20"/>
          <w:szCs w:val="20"/>
        </w:rPr>
        <w:t xml:space="preserve">El carácter </w:t>
      </w:r>
      <w:proofErr w:type="spellStart"/>
      <w:r>
        <w:rPr>
          <w:sz w:val="20"/>
          <w:szCs w:val="20"/>
        </w:rPr>
        <w:t>autoliquidable</w:t>
      </w:r>
      <w:proofErr w:type="spellEnd"/>
      <w:r>
        <w:rPr>
          <w:sz w:val="20"/>
          <w:szCs w:val="20"/>
        </w:rPr>
        <w:t xml:space="preserve"> del fideicomiso constituido con fines de garantía permite reducir los costos y tiempos que implica una ejecución judicial. A su vez, la realización del inmueble se efectúa a valor de mercado, reduciendo sustancialmente la pérdida de su valor. Todo esto beneficia al titular, al otorgarle un monto mayor de crédito al que obtendría mediante una garantía tradicional, y a sus herederos, quienes, si deciden recuperar el bien, afrontarán un saldo adeudado menor, o bien recibirán un remanente mayor. La realización del patrimonio fideicomitido por parte del fiduciario no constituye una "ejecución" en sentido procesal ni el ejercicio de una función jurisdiccional, sino el mero cumplimiento del encargo fiduciario pactado contractualmente. Como recaudos para la instrumentación de fideicomisos con fines de garantía, resulta recomendable que el contrato prevea particularmente: (i) un procedimiento de ejecución detallado que satisfaga el estándar del art. 1680 CCCN; (</w:t>
      </w:r>
      <w:proofErr w:type="spellStart"/>
      <w:r>
        <w:rPr>
          <w:sz w:val="20"/>
          <w:szCs w:val="20"/>
        </w:rPr>
        <w:t>ii</w:t>
      </w:r>
      <w:proofErr w:type="spellEnd"/>
      <w:r>
        <w:rPr>
          <w:sz w:val="20"/>
          <w:szCs w:val="20"/>
        </w:rPr>
        <w:t>) la designación de un fiduciario sustituto para el supuesto de cese; y (</w:t>
      </w:r>
      <w:proofErr w:type="spellStart"/>
      <w:r>
        <w:rPr>
          <w:sz w:val="20"/>
          <w:szCs w:val="20"/>
        </w:rPr>
        <w:t>iii</w:t>
      </w:r>
      <w:proofErr w:type="spellEnd"/>
      <w:r>
        <w:rPr>
          <w:sz w:val="20"/>
          <w:szCs w:val="20"/>
        </w:rPr>
        <w:t>) el destino de los bienes en cada uno de los escenarios de extinción posibles.</w:t>
      </w:r>
    </w:p>
    <w:p w14:paraId="6E294926" w14:textId="77777777" w:rsidR="00CE4E63" w:rsidRDefault="00FA1C79">
      <w:pPr>
        <w:spacing w:before="100" w:after="60"/>
        <w:ind w:left="100"/>
      </w:pPr>
      <w:r>
        <w:rPr>
          <w:b/>
          <w:bCs/>
          <w:color w:val="1F3864"/>
          <w:sz w:val="20"/>
          <w:szCs w:val="20"/>
        </w:rPr>
        <w:t>Hipoteca inversa</w:t>
      </w:r>
    </w:p>
    <w:p w14:paraId="40E823C0" w14:textId="77777777" w:rsidR="00CE4E63" w:rsidRDefault="00FA1C79">
      <w:pPr>
        <w:spacing w:after="120"/>
        <w:ind w:left="100"/>
        <w:jc w:val="both"/>
      </w:pPr>
      <w:r>
        <w:rPr>
          <w:sz w:val="20"/>
          <w:szCs w:val="20"/>
        </w:rPr>
        <w:t>La figura conocida como "hipoteca inversa" es plenamente aplicable con el ordenamiento jurídico vigente ya que no vulnera el orden público ni el régimen del numerus clausus de los derechos reales. Resultaría conveniente una regulación especial que establezca beneficios impositivos a fin de fomentar la utilización de la hipoteca inversa, ya que su aceptación e implementación conduciría a la concreción del derecho a una vida digna y el derecho a una vivienda.</w:t>
      </w:r>
    </w:p>
    <w:p w14:paraId="24B05AC9" w14:textId="77777777" w:rsidR="00CE4E63" w:rsidRDefault="00FA1C79">
      <w:pPr>
        <w:spacing w:before="100" w:after="60"/>
        <w:ind w:left="100"/>
      </w:pPr>
      <w:r>
        <w:rPr>
          <w:b/>
          <w:bCs/>
          <w:color w:val="1F3864"/>
          <w:sz w:val="20"/>
          <w:szCs w:val="20"/>
        </w:rPr>
        <w:t>Renta vitalicia</w:t>
      </w:r>
    </w:p>
    <w:p w14:paraId="1C97A94A" w14:textId="77777777" w:rsidR="00CE4E63" w:rsidRDefault="00FA1C79">
      <w:pPr>
        <w:spacing w:after="120"/>
        <w:ind w:left="100"/>
        <w:jc w:val="both"/>
      </w:pPr>
      <w:r>
        <w:rPr>
          <w:sz w:val="20"/>
          <w:szCs w:val="20"/>
        </w:rPr>
        <w:lastRenderedPageBreak/>
        <w:t xml:space="preserve">El alea es un elemento estructural del contrato oneroso de renta vitalicia. El ordenamiento no exige acierto en la proyección de la expectativa de vida: tanto el fallecimiento prematuro como la longevidad extraordinaria integran el contenido del negocio y no generan acción, salvo dolo por ocultamiento de una enfermedad diagnosticada (arts. 271 y 272 CCCN), lesión (art. 332 CCCN) o resolución por enfermedad coetánea (art. 1608 CCCN). El asesoramiento notarial no debe orientarse a pronosticar la duración de la vida, sino a documentar el estado de conocimiento de ambas partes al tiempo del acto. La renta debe pagarse en dinero (art. 1602 CCCN), por lo que la prestación asistencial no puede constituir por sí sola el objeto de la renta vitalicia típica; se recomienda pactar renta dineraria con medios de pago ciertos (transferencia bancaria con leyenda de imputación, recibo anual con firma certificada, previsión de consignación extrajudicial ante escribano). La garantía del cobro de la renta no debe instrumentarse mediante condición resolutoria inscripta, pues el dominio revocable así constituido queda alcanzado por el límite de diez años del art. 1965 CCCN, insuficiente frente a la duración esperable de un contrato vitalicio; se propone instrumentarla con hipoteca o fideicomiso de garantía sobre la nuda propiedad, complementada con reserva de usufructo vitalicio y gratuito, y de lege </w:t>
      </w:r>
      <w:proofErr w:type="spellStart"/>
      <w:r>
        <w:rPr>
          <w:sz w:val="20"/>
          <w:szCs w:val="20"/>
        </w:rPr>
        <w:t>ferenda</w:t>
      </w:r>
      <w:proofErr w:type="spellEnd"/>
      <w:r>
        <w:rPr>
          <w:sz w:val="20"/>
          <w:szCs w:val="20"/>
        </w:rPr>
        <w:t xml:space="preserve"> se propone exceptuar de ese plazo a las condiciones resolutorias pactadas en garantía de contratos vitalicios.</w:t>
      </w:r>
    </w:p>
    <w:sectPr w:rsidR="00CE4E63">
      <w:headerReference w:type="default" r:id="rId7"/>
      <w:footerReference w:type="default" r:id="rId8"/>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9B2C1" w14:textId="77777777" w:rsidR="00C02F22" w:rsidRDefault="00C02F22">
      <w:r>
        <w:separator/>
      </w:r>
    </w:p>
  </w:endnote>
  <w:endnote w:type="continuationSeparator" w:id="0">
    <w:p w14:paraId="0F5BBC80" w14:textId="77777777" w:rsidR="00C02F22" w:rsidRDefault="00C02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51EC" w14:textId="77777777" w:rsidR="00CE4E63" w:rsidRDefault="00FA1C79">
    <w:pPr>
      <w:jc w:val="center"/>
    </w:pPr>
    <w:r>
      <w:rPr>
        <w:color w:val="888888"/>
        <w:sz w:val="16"/>
        <w:szCs w:val="16"/>
      </w:rPr>
      <w:t xml:space="preserve">Página </w:t>
    </w:r>
    <w:r>
      <w:rPr>
        <w:color w:val="888888"/>
        <w:sz w:val="16"/>
        <w:szCs w:val="16"/>
      </w:rPr>
      <w:fldChar w:fldCharType="begin"/>
    </w:r>
    <w:r>
      <w:rPr>
        <w:color w:val="888888"/>
        <w:sz w:val="16"/>
        <w:szCs w:val="16"/>
      </w:rPr>
      <w:instrText>PAGE</w:instrText>
    </w:r>
    <w:r>
      <w:rPr>
        <w:color w:val="888888"/>
        <w:sz w:val="16"/>
        <w:szCs w:val="16"/>
      </w:rPr>
      <w:fldChar w:fldCharType="separate"/>
    </w:r>
    <w:r w:rsidR="006310D4">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4E008" w14:textId="77777777" w:rsidR="00C02F22" w:rsidRDefault="00C02F22">
      <w:r>
        <w:separator/>
      </w:r>
    </w:p>
  </w:footnote>
  <w:footnote w:type="continuationSeparator" w:id="0">
    <w:p w14:paraId="26768AFE" w14:textId="77777777" w:rsidR="00C02F22" w:rsidRDefault="00C02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1D33" w14:textId="77777777" w:rsidR="00CE4E63" w:rsidRDefault="00FA1C79">
    <w:pPr>
      <w:jc w:val="right"/>
    </w:pPr>
    <w:r>
      <w:rPr>
        <w:i/>
        <w:iCs/>
        <w:color w:val="888888"/>
        <w:sz w:val="16"/>
        <w:szCs w:val="16"/>
      </w:rPr>
      <w:t>46ª Convención Notarial — Tema II · Herramientas de acceso al crédito y la vivienda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0A8A"/>
    <w:multiLevelType w:val="hybridMultilevel"/>
    <w:tmpl w:val="6344B8C6"/>
    <w:lvl w:ilvl="0" w:tplc="2C0A000F">
      <w:start w:val="5"/>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1EC306D"/>
    <w:multiLevelType w:val="multilevel"/>
    <w:tmpl w:val="E12E5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625428"/>
    <w:multiLevelType w:val="hybridMultilevel"/>
    <w:tmpl w:val="8AE047FA"/>
    <w:lvl w:ilvl="0" w:tplc="B3E4D15E">
      <w:start w:val="1"/>
      <w:numFmt w:val="bullet"/>
      <w:lvlText w:val="●"/>
      <w:lvlJc w:val="left"/>
      <w:pPr>
        <w:ind w:left="720" w:hanging="360"/>
      </w:pPr>
    </w:lvl>
    <w:lvl w:ilvl="1" w:tplc="7C72831E">
      <w:start w:val="1"/>
      <w:numFmt w:val="bullet"/>
      <w:lvlText w:val="○"/>
      <w:lvlJc w:val="left"/>
      <w:pPr>
        <w:ind w:left="1440" w:hanging="360"/>
      </w:pPr>
    </w:lvl>
    <w:lvl w:ilvl="2" w:tplc="BCDCF07A">
      <w:start w:val="1"/>
      <w:numFmt w:val="bullet"/>
      <w:lvlText w:val="■"/>
      <w:lvlJc w:val="left"/>
      <w:pPr>
        <w:ind w:left="2160" w:hanging="360"/>
      </w:pPr>
    </w:lvl>
    <w:lvl w:ilvl="3" w:tplc="026AE098">
      <w:start w:val="1"/>
      <w:numFmt w:val="bullet"/>
      <w:lvlText w:val="●"/>
      <w:lvlJc w:val="left"/>
      <w:pPr>
        <w:ind w:left="2880" w:hanging="360"/>
      </w:pPr>
    </w:lvl>
    <w:lvl w:ilvl="4" w:tplc="E36C545C">
      <w:start w:val="1"/>
      <w:numFmt w:val="bullet"/>
      <w:lvlText w:val="○"/>
      <w:lvlJc w:val="left"/>
      <w:pPr>
        <w:ind w:left="3600" w:hanging="360"/>
      </w:pPr>
    </w:lvl>
    <w:lvl w:ilvl="5" w:tplc="A028C7EC">
      <w:start w:val="1"/>
      <w:numFmt w:val="bullet"/>
      <w:lvlText w:val="■"/>
      <w:lvlJc w:val="left"/>
      <w:pPr>
        <w:ind w:left="4320" w:hanging="360"/>
      </w:pPr>
    </w:lvl>
    <w:lvl w:ilvl="6" w:tplc="64D01292">
      <w:start w:val="1"/>
      <w:numFmt w:val="bullet"/>
      <w:lvlText w:val="●"/>
      <w:lvlJc w:val="left"/>
      <w:pPr>
        <w:ind w:left="5040" w:hanging="360"/>
      </w:pPr>
    </w:lvl>
    <w:lvl w:ilvl="7" w:tplc="D53C1D6C">
      <w:start w:val="1"/>
      <w:numFmt w:val="bullet"/>
      <w:lvlText w:val="●"/>
      <w:lvlJc w:val="left"/>
      <w:pPr>
        <w:ind w:left="5760" w:hanging="360"/>
      </w:pPr>
    </w:lvl>
    <w:lvl w:ilvl="8" w:tplc="1CBEFBC8">
      <w:start w:val="1"/>
      <w:numFmt w:val="bullet"/>
      <w:lvlText w:val="●"/>
      <w:lvlJc w:val="left"/>
      <w:pPr>
        <w:ind w:left="6480" w:hanging="360"/>
      </w:pPr>
    </w:lvl>
  </w:abstractNum>
  <w:num w:numId="1" w16cid:durableId="177930501">
    <w:abstractNumId w:val="2"/>
    <w:lvlOverride w:ilvl="0">
      <w:startOverride w:val="1"/>
    </w:lvlOverride>
  </w:num>
  <w:num w:numId="2" w16cid:durableId="1420758211">
    <w:abstractNumId w:val="1"/>
  </w:num>
  <w:num w:numId="3" w16cid:durableId="1705129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E63"/>
    <w:rsid w:val="002B52A2"/>
    <w:rsid w:val="002D03A9"/>
    <w:rsid w:val="006310D4"/>
    <w:rsid w:val="007723EB"/>
    <w:rsid w:val="00855C38"/>
    <w:rsid w:val="00B24DCC"/>
    <w:rsid w:val="00BE632B"/>
    <w:rsid w:val="00C02F22"/>
    <w:rsid w:val="00CE4E63"/>
    <w:rsid w:val="00FA1C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C0EE6"/>
  <w15:docId w15:val="{98E6CF54-3A2D-4D12-BBF7-367772B7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4505</Words>
  <Characters>24780</Characters>
  <Application>Microsoft Office Word</Application>
  <DocSecurity>0</DocSecurity>
  <Lines>206</Lines>
  <Paragraphs>58</Paragraphs>
  <ScaleCrop>false</ScaleCrop>
  <Company/>
  <LinksUpToDate>false</LinksUpToDate>
  <CharactersWithSpaces>29227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Sonia Lukaszewicz</cp:lastModifiedBy>
  <cp:revision>5</cp:revision>
  <dcterms:created xsi:type="dcterms:W3CDTF">2026-08-26T13:08:00Z</dcterms:created>
  <dcterms:modified xsi:type="dcterms:W3CDTF">2026-08-26T13:38:00Z</dcterms:modified>
</cp:coreProperties>
</file>