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A89" w:rsidRPr="008F7188" w:rsidRDefault="00DE6A89" w:rsidP="00DE6A89">
      <w:pPr>
        <w:spacing w:before="100" w:beforeAutospacing="1" w:after="100" w:afterAutospacing="1" w:line="240" w:lineRule="auto"/>
        <w:jc w:val="both"/>
        <w:rPr>
          <w:rFonts w:ascii="Times New Roman" w:eastAsia="Times New Roman" w:hAnsi="Times New Roman" w:cs="Times New Roman"/>
          <w:sz w:val="24"/>
          <w:szCs w:val="24"/>
          <w:lang w:eastAsia="es-AR"/>
        </w:rPr>
      </w:pPr>
      <w:bookmarkStart w:id="0" w:name="_GoBack"/>
      <w:bookmarkEnd w:id="0"/>
      <w:r w:rsidRPr="008F7188">
        <w:rPr>
          <w:rFonts w:ascii="Times New Roman" w:eastAsia="Times New Roman" w:hAnsi="Times New Roman" w:cs="Times New Roman"/>
          <w:sz w:val="24"/>
          <w:szCs w:val="24"/>
          <w:lang w:eastAsia="es-AR"/>
        </w:rPr>
        <w:t>Cámara Nacional de Apelaciones en lo Civil, sala H</w:t>
      </w:r>
    </w:p>
    <w:p w:rsidR="00DE6A89" w:rsidRPr="008F7188" w:rsidRDefault="00DE6A89" w:rsidP="00DE6A89">
      <w:pPr>
        <w:spacing w:after="0" w:line="240" w:lineRule="auto"/>
        <w:jc w:val="both"/>
        <w:rPr>
          <w:rFonts w:ascii="Times New Roman" w:eastAsia="Times New Roman" w:hAnsi="Times New Roman" w:cs="Times New Roman"/>
          <w:sz w:val="24"/>
          <w:szCs w:val="24"/>
          <w:lang w:eastAsia="es-AR"/>
        </w:rPr>
      </w:pPr>
      <w:proofErr w:type="spellStart"/>
      <w:r w:rsidRPr="008F7188">
        <w:rPr>
          <w:rFonts w:ascii="Times New Roman" w:eastAsia="Times New Roman" w:hAnsi="Times New Roman" w:cs="Times New Roman"/>
          <w:sz w:val="24"/>
          <w:szCs w:val="24"/>
          <w:lang w:eastAsia="es-AR"/>
        </w:rPr>
        <w:t>Rando</w:t>
      </w:r>
      <w:proofErr w:type="spellEnd"/>
      <w:r w:rsidRPr="008F7188">
        <w:rPr>
          <w:rFonts w:ascii="Times New Roman" w:eastAsia="Times New Roman" w:hAnsi="Times New Roman" w:cs="Times New Roman"/>
          <w:sz w:val="24"/>
          <w:szCs w:val="24"/>
          <w:lang w:eastAsia="es-AR"/>
        </w:rPr>
        <w:t xml:space="preserve">, Gabriel c. </w:t>
      </w:r>
      <w:proofErr w:type="spellStart"/>
      <w:r w:rsidRPr="008F7188">
        <w:rPr>
          <w:rFonts w:ascii="Times New Roman" w:eastAsia="Times New Roman" w:hAnsi="Times New Roman" w:cs="Times New Roman"/>
          <w:sz w:val="24"/>
          <w:szCs w:val="24"/>
          <w:lang w:eastAsia="es-AR"/>
        </w:rPr>
        <w:t>Florio</w:t>
      </w:r>
      <w:proofErr w:type="spellEnd"/>
      <w:r w:rsidRPr="008F7188">
        <w:rPr>
          <w:rFonts w:ascii="Times New Roman" w:eastAsia="Times New Roman" w:hAnsi="Times New Roman" w:cs="Times New Roman"/>
          <w:sz w:val="24"/>
          <w:szCs w:val="24"/>
          <w:lang w:eastAsia="es-AR"/>
        </w:rPr>
        <w:t xml:space="preserve">, Claudio y otros s/ daños y </w:t>
      </w:r>
      <w:proofErr w:type="spellStart"/>
      <w:r w:rsidRPr="008F7188">
        <w:rPr>
          <w:rFonts w:ascii="Times New Roman" w:eastAsia="Times New Roman" w:hAnsi="Times New Roman" w:cs="Times New Roman"/>
          <w:sz w:val="24"/>
          <w:szCs w:val="24"/>
          <w:lang w:eastAsia="es-AR"/>
        </w:rPr>
        <w:t>perj</w:t>
      </w:r>
      <w:proofErr w:type="spellEnd"/>
      <w:r w:rsidRPr="008F7188">
        <w:rPr>
          <w:rFonts w:ascii="Times New Roman" w:eastAsia="Times New Roman" w:hAnsi="Times New Roman" w:cs="Times New Roman"/>
          <w:sz w:val="24"/>
          <w:szCs w:val="24"/>
          <w:lang w:eastAsia="es-AR"/>
        </w:rPr>
        <w:t xml:space="preserve">. </w:t>
      </w:r>
      <w:proofErr w:type="gramStart"/>
      <w:r w:rsidRPr="008F7188">
        <w:rPr>
          <w:rFonts w:ascii="Times New Roman" w:eastAsia="Times New Roman" w:hAnsi="Times New Roman" w:cs="Times New Roman"/>
          <w:sz w:val="24"/>
          <w:szCs w:val="24"/>
          <w:lang w:eastAsia="es-AR"/>
        </w:rPr>
        <w:t>derivados</w:t>
      </w:r>
      <w:proofErr w:type="gramEnd"/>
      <w:r w:rsidRPr="008F7188">
        <w:rPr>
          <w:rFonts w:ascii="Times New Roman" w:eastAsia="Times New Roman" w:hAnsi="Times New Roman" w:cs="Times New Roman"/>
          <w:sz w:val="24"/>
          <w:szCs w:val="24"/>
          <w:lang w:eastAsia="es-AR"/>
        </w:rPr>
        <w:t xml:space="preserve"> de la </w:t>
      </w:r>
      <w:proofErr w:type="spellStart"/>
      <w:r w:rsidRPr="008F7188">
        <w:rPr>
          <w:rFonts w:ascii="Times New Roman" w:eastAsia="Times New Roman" w:hAnsi="Times New Roman" w:cs="Times New Roman"/>
          <w:sz w:val="24"/>
          <w:szCs w:val="24"/>
          <w:lang w:eastAsia="es-AR"/>
        </w:rPr>
        <w:t>prop</w:t>
      </w:r>
      <w:proofErr w:type="spellEnd"/>
      <w:r w:rsidRPr="008F7188">
        <w:rPr>
          <w:rFonts w:ascii="Times New Roman" w:eastAsia="Times New Roman" w:hAnsi="Times New Roman" w:cs="Times New Roman"/>
          <w:sz w:val="24"/>
          <w:szCs w:val="24"/>
          <w:lang w:eastAsia="es-AR"/>
        </w:rPr>
        <w:t xml:space="preserve">. </w:t>
      </w:r>
      <w:proofErr w:type="gramStart"/>
      <w:r w:rsidRPr="008F7188">
        <w:rPr>
          <w:rFonts w:ascii="Times New Roman" w:eastAsia="Times New Roman" w:hAnsi="Times New Roman" w:cs="Times New Roman"/>
          <w:sz w:val="24"/>
          <w:szCs w:val="24"/>
          <w:lang w:eastAsia="es-AR"/>
        </w:rPr>
        <w:t>horizontal</w:t>
      </w:r>
      <w:proofErr w:type="gramEnd"/>
      <w:r w:rsidRPr="008F7188">
        <w:rPr>
          <w:rFonts w:ascii="Times New Roman" w:eastAsia="Times New Roman" w:hAnsi="Times New Roman" w:cs="Times New Roman"/>
          <w:sz w:val="24"/>
          <w:szCs w:val="24"/>
          <w:lang w:eastAsia="es-AR"/>
        </w:rPr>
        <w:t xml:space="preserve"> • 04/05/2011  </w:t>
      </w:r>
    </w:p>
    <w:p w:rsidR="00DE6A89" w:rsidRPr="008F7188" w:rsidRDefault="00DE6A89" w:rsidP="00DE6A8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F7188">
        <w:rPr>
          <w:rFonts w:ascii="Times New Roman" w:eastAsia="Times New Roman" w:hAnsi="Times New Roman" w:cs="Times New Roman"/>
          <w:sz w:val="24"/>
          <w:szCs w:val="24"/>
          <w:lang w:eastAsia="es-AR"/>
        </w:rPr>
        <w:t>Buenos Aires, Mayo 4 de 2011.</w:t>
      </w:r>
    </w:p>
    <w:p w:rsidR="00DE6A89" w:rsidRPr="008F7188" w:rsidRDefault="00DE6A89" w:rsidP="00DE6A8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F7188">
        <w:rPr>
          <w:rFonts w:ascii="Times New Roman" w:eastAsia="Times New Roman" w:hAnsi="Times New Roman" w:cs="Times New Roman"/>
          <w:sz w:val="24"/>
          <w:szCs w:val="24"/>
          <w:lang w:eastAsia="es-AR"/>
        </w:rPr>
        <w:t xml:space="preserve">El doctor </w:t>
      </w:r>
      <w:proofErr w:type="spellStart"/>
      <w:r w:rsidRPr="008F7188">
        <w:rPr>
          <w:rFonts w:ascii="Times New Roman" w:eastAsia="Times New Roman" w:hAnsi="Times New Roman" w:cs="Times New Roman"/>
          <w:sz w:val="24"/>
          <w:szCs w:val="24"/>
          <w:lang w:eastAsia="es-AR"/>
        </w:rPr>
        <w:t>Kiper</w:t>
      </w:r>
      <w:proofErr w:type="spellEnd"/>
      <w:r w:rsidRPr="008F7188">
        <w:rPr>
          <w:rFonts w:ascii="Times New Roman" w:eastAsia="Times New Roman" w:hAnsi="Times New Roman" w:cs="Times New Roman"/>
          <w:sz w:val="24"/>
          <w:szCs w:val="24"/>
          <w:lang w:eastAsia="es-AR"/>
        </w:rPr>
        <w:t xml:space="preserve"> dijo:</w:t>
      </w:r>
    </w:p>
    <w:p w:rsidR="00DE6A89" w:rsidRPr="008F7188" w:rsidRDefault="00DE6A89" w:rsidP="00DE6A8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F7188">
        <w:rPr>
          <w:rFonts w:ascii="Times New Roman" w:eastAsia="Times New Roman" w:hAnsi="Times New Roman" w:cs="Times New Roman"/>
          <w:sz w:val="24"/>
          <w:szCs w:val="24"/>
          <w:lang w:eastAsia="es-AR"/>
        </w:rPr>
        <w:t xml:space="preserve">I. Contra la sentencia dictada en primera instancia (fs. 563/71), que hizo lugar a la excepción de falta de legitimación opuesta por algunos demandados y rechazó la demanda que perseguía la indemnización de diversos perjuicios derivados supuestamente de la ocupación indebida de espacios comunes, realización de obras antirreglamentarias, ofensas y molestias intolerables, expresa agravios el actor a fs. 601/7. El demandado Claudio </w:t>
      </w:r>
      <w:proofErr w:type="spellStart"/>
      <w:r w:rsidRPr="008F7188">
        <w:rPr>
          <w:rFonts w:ascii="Times New Roman" w:eastAsia="Times New Roman" w:hAnsi="Times New Roman" w:cs="Times New Roman"/>
          <w:sz w:val="24"/>
          <w:szCs w:val="24"/>
          <w:lang w:eastAsia="es-AR"/>
        </w:rPr>
        <w:t>Florio</w:t>
      </w:r>
      <w:proofErr w:type="spellEnd"/>
      <w:r w:rsidRPr="008F7188">
        <w:rPr>
          <w:rFonts w:ascii="Times New Roman" w:eastAsia="Times New Roman" w:hAnsi="Times New Roman" w:cs="Times New Roman"/>
          <w:sz w:val="24"/>
          <w:szCs w:val="24"/>
          <w:lang w:eastAsia="es-AR"/>
        </w:rPr>
        <w:t xml:space="preserve"> contestó el traslado a fs. 609/23, y José </w:t>
      </w:r>
      <w:proofErr w:type="spellStart"/>
      <w:r w:rsidRPr="008F7188">
        <w:rPr>
          <w:rFonts w:ascii="Times New Roman" w:eastAsia="Times New Roman" w:hAnsi="Times New Roman" w:cs="Times New Roman"/>
          <w:sz w:val="24"/>
          <w:szCs w:val="24"/>
          <w:lang w:eastAsia="es-AR"/>
        </w:rPr>
        <w:t>Florio</w:t>
      </w:r>
      <w:proofErr w:type="spellEnd"/>
      <w:r w:rsidRPr="008F7188">
        <w:rPr>
          <w:rFonts w:ascii="Times New Roman" w:eastAsia="Times New Roman" w:hAnsi="Times New Roman" w:cs="Times New Roman"/>
          <w:sz w:val="24"/>
          <w:szCs w:val="24"/>
          <w:lang w:eastAsia="es-AR"/>
        </w:rPr>
        <w:t xml:space="preserve"> e Irma </w:t>
      </w:r>
      <w:proofErr w:type="spellStart"/>
      <w:r w:rsidRPr="008F7188">
        <w:rPr>
          <w:rFonts w:ascii="Times New Roman" w:eastAsia="Times New Roman" w:hAnsi="Times New Roman" w:cs="Times New Roman"/>
          <w:sz w:val="24"/>
          <w:szCs w:val="24"/>
          <w:lang w:eastAsia="es-AR"/>
        </w:rPr>
        <w:t>Tessei</w:t>
      </w:r>
      <w:proofErr w:type="spellEnd"/>
      <w:r w:rsidRPr="008F7188">
        <w:rPr>
          <w:rFonts w:ascii="Times New Roman" w:eastAsia="Times New Roman" w:hAnsi="Times New Roman" w:cs="Times New Roman"/>
          <w:sz w:val="24"/>
          <w:szCs w:val="24"/>
          <w:lang w:eastAsia="es-AR"/>
        </w:rPr>
        <w:t xml:space="preserve"> de </w:t>
      </w:r>
      <w:proofErr w:type="spellStart"/>
      <w:r w:rsidRPr="008F7188">
        <w:rPr>
          <w:rFonts w:ascii="Times New Roman" w:eastAsia="Times New Roman" w:hAnsi="Times New Roman" w:cs="Times New Roman"/>
          <w:sz w:val="24"/>
          <w:szCs w:val="24"/>
          <w:lang w:eastAsia="es-AR"/>
        </w:rPr>
        <w:t>Florio</w:t>
      </w:r>
      <w:proofErr w:type="spellEnd"/>
      <w:r w:rsidRPr="008F7188">
        <w:rPr>
          <w:rFonts w:ascii="Times New Roman" w:eastAsia="Times New Roman" w:hAnsi="Times New Roman" w:cs="Times New Roman"/>
          <w:sz w:val="24"/>
          <w:szCs w:val="24"/>
          <w:lang w:eastAsia="es-AR"/>
        </w:rPr>
        <w:t xml:space="preserve"> lo hicieron a fs. 624/36.</w:t>
      </w:r>
    </w:p>
    <w:p w:rsidR="00DE6A89" w:rsidRPr="008F7188" w:rsidRDefault="00DE6A89" w:rsidP="00DE6A8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F7188">
        <w:rPr>
          <w:rFonts w:ascii="Times New Roman" w:eastAsia="Times New Roman" w:hAnsi="Times New Roman" w:cs="Times New Roman"/>
          <w:sz w:val="24"/>
          <w:szCs w:val="24"/>
          <w:lang w:eastAsia="es-AR"/>
        </w:rPr>
        <w:t xml:space="preserve">El actor critica la conclusión del fallo según la cual debió ser demandada en este pleito la tercera </w:t>
      </w:r>
      <w:proofErr w:type="spellStart"/>
      <w:r w:rsidRPr="008F7188">
        <w:rPr>
          <w:rFonts w:ascii="Times New Roman" w:eastAsia="Times New Roman" w:hAnsi="Times New Roman" w:cs="Times New Roman"/>
          <w:sz w:val="24"/>
          <w:szCs w:val="24"/>
          <w:lang w:eastAsia="es-AR"/>
        </w:rPr>
        <w:t>consorcista</w:t>
      </w:r>
      <w:proofErr w:type="spellEnd"/>
      <w:r w:rsidRPr="008F7188">
        <w:rPr>
          <w:rFonts w:ascii="Times New Roman" w:eastAsia="Times New Roman" w:hAnsi="Times New Roman" w:cs="Times New Roman"/>
          <w:sz w:val="24"/>
          <w:szCs w:val="24"/>
          <w:lang w:eastAsia="es-AR"/>
        </w:rPr>
        <w:t xml:space="preserve"> del inmueble. Entiende que esa circunstancia no era un obstáculo para resolver, y que cuando quiso traerla al pleito el juzgado denegó su petición. Luego insiste en que el demandado ocupó sin permiso y sin derecho espacios comunes del edificio, que son la cochera y el pasillo que dan sobre la calle... Por este hecho reclama una compensación de $4.903,92. En cuanto a las agresiones, señala que el juez confundió el hecho ocurrido el 13 de noviembre de 2003 con el sucedido en octubre de 2004. No obstante, entiende que ambos fueron acreditados y que justifican un resarcimiento. Luego reclama también por una obra realizada por el demandado que, a su entender, no se ajusta a lo dispuesto en el Reglamento y, finalmente, alega que el demandado produce humo y olores intolerables.</w:t>
      </w:r>
    </w:p>
    <w:p w:rsidR="00DE6A89" w:rsidRPr="008F7188" w:rsidRDefault="00DE6A89" w:rsidP="00DE6A8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F7188">
        <w:rPr>
          <w:rFonts w:ascii="Times New Roman" w:eastAsia="Times New Roman" w:hAnsi="Times New Roman" w:cs="Times New Roman"/>
          <w:sz w:val="24"/>
          <w:szCs w:val="24"/>
          <w:lang w:eastAsia="es-AR"/>
        </w:rPr>
        <w:t xml:space="preserve">II. En primer lugar, debo aclarar que el apelante no ha cuestionado en esta instancia lo resuelto en torno a la legitimación pasiva de algunos demandados, lo que entonces se encuentra firme y con fuerza de cosa juzgada. Cabe entonces entender que, admitido lo anterior, la demanda sólo está </w:t>
      </w:r>
      <w:proofErr w:type="gramStart"/>
      <w:r w:rsidRPr="008F7188">
        <w:rPr>
          <w:rFonts w:ascii="Times New Roman" w:eastAsia="Times New Roman" w:hAnsi="Times New Roman" w:cs="Times New Roman"/>
          <w:sz w:val="24"/>
          <w:szCs w:val="24"/>
          <w:lang w:eastAsia="es-AR"/>
        </w:rPr>
        <w:t>dirigida</w:t>
      </w:r>
      <w:proofErr w:type="gramEnd"/>
      <w:r w:rsidRPr="008F7188">
        <w:rPr>
          <w:rFonts w:ascii="Times New Roman" w:eastAsia="Times New Roman" w:hAnsi="Times New Roman" w:cs="Times New Roman"/>
          <w:sz w:val="24"/>
          <w:szCs w:val="24"/>
          <w:lang w:eastAsia="es-AR"/>
        </w:rPr>
        <w:t xml:space="preserve"> contra Claudio </w:t>
      </w:r>
      <w:proofErr w:type="spellStart"/>
      <w:r w:rsidRPr="008F7188">
        <w:rPr>
          <w:rFonts w:ascii="Times New Roman" w:eastAsia="Times New Roman" w:hAnsi="Times New Roman" w:cs="Times New Roman"/>
          <w:sz w:val="24"/>
          <w:szCs w:val="24"/>
          <w:lang w:eastAsia="es-AR"/>
        </w:rPr>
        <w:t>Florio</w:t>
      </w:r>
      <w:proofErr w:type="spellEnd"/>
      <w:r w:rsidRPr="008F7188">
        <w:rPr>
          <w:rFonts w:ascii="Times New Roman" w:eastAsia="Times New Roman" w:hAnsi="Times New Roman" w:cs="Times New Roman"/>
          <w:sz w:val="24"/>
          <w:szCs w:val="24"/>
          <w:lang w:eastAsia="es-AR"/>
        </w:rPr>
        <w:t>.</w:t>
      </w:r>
    </w:p>
    <w:p w:rsidR="00DE6A89" w:rsidRPr="008F7188" w:rsidRDefault="00DE6A89" w:rsidP="00DE6A8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F7188">
        <w:rPr>
          <w:rFonts w:ascii="Times New Roman" w:eastAsia="Times New Roman" w:hAnsi="Times New Roman" w:cs="Times New Roman"/>
          <w:sz w:val="24"/>
          <w:szCs w:val="24"/>
          <w:lang w:eastAsia="es-AR"/>
        </w:rPr>
        <w:t xml:space="preserve">En el caso se trata de un inmueble sometido al régimen de propiedad horizontal luego de una división de condominio realizada hace tiempo por un padre y dos hijos titulares de todo el inmueble. Actor y demandado son sucesores particulares de aquéllos. El inmueble consta de tres unidades, y la restante la ocupa la viuda de uno de dichos hijos, quien sólo actuó en </w:t>
      </w:r>
      <w:proofErr w:type="gramStart"/>
      <w:r w:rsidRPr="008F7188">
        <w:rPr>
          <w:rFonts w:ascii="Times New Roman" w:eastAsia="Times New Roman" w:hAnsi="Times New Roman" w:cs="Times New Roman"/>
          <w:sz w:val="24"/>
          <w:szCs w:val="24"/>
          <w:lang w:eastAsia="es-AR"/>
        </w:rPr>
        <w:t>este</w:t>
      </w:r>
      <w:proofErr w:type="gramEnd"/>
      <w:r w:rsidRPr="008F7188">
        <w:rPr>
          <w:rFonts w:ascii="Times New Roman" w:eastAsia="Times New Roman" w:hAnsi="Times New Roman" w:cs="Times New Roman"/>
          <w:sz w:val="24"/>
          <w:szCs w:val="24"/>
          <w:lang w:eastAsia="es-AR"/>
        </w:rPr>
        <w:t xml:space="preserve"> juicio como testigo, pues cuando el actor pidió su citación el juzgado entendió que la petición era tardía, al estar trabada la </w:t>
      </w:r>
      <w:proofErr w:type="spellStart"/>
      <w:r w:rsidRPr="008F7188">
        <w:rPr>
          <w:rFonts w:ascii="Times New Roman" w:eastAsia="Times New Roman" w:hAnsi="Times New Roman" w:cs="Times New Roman"/>
          <w:sz w:val="24"/>
          <w:szCs w:val="24"/>
          <w:lang w:eastAsia="es-AR"/>
        </w:rPr>
        <w:t>litis</w:t>
      </w:r>
      <w:proofErr w:type="spellEnd"/>
      <w:r w:rsidRPr="008F7188">
        <w:rPr>
          <w:rFonts w:ascii="Times New Roman" w:eastAsia="Times New Roman" w:hAnsi="Times New Roman" w:cs="Times New Roman"/>
          <w:sz w:val="24"/>
          <w:szCs w:val="24"/>
          <w:lang w:eastAsia="es-AR"/>
        </w:rPr>
        <w:t xml:space="preserve"> (fs. 267).</w:t>
      </w:r>
    </w:p>
    <w:p w:rsidR="00DE6A89" w:rsidRPr="008F7188" w:rsidRDefault="00DE6A89" w:rsidP="00DE6A8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F7188">
        <w:rPr>
          <w:rFonts w:ascii="Times New Roman" w:eastAsia="Times New Roman" w:hAnsi="Times New Roman" w:cs="Times New Roman"/>
          <w:sz w:val="24"/>
          <w:szCs w:val="24"/>
          <w:lang w:eastAsia="es-AR"/>
        </w:rPr>
        <w:t>De todos modos, no creo que esto sea un obstáculo para la decisión de las cuestiones planteadas. En efecto, dispone el art. 15, ley 13.512: En caso de violación por parte de cualquiera de los propietarios u ocupantes, de las normas del art. 6, el representante o los propietarios afectados formularán la denuncia correspondiente ante el juez competente...".</w:t>
      </w:r>
    </w:p>
    <w:p w:rsidR="00DE6A89" w:rsidRPr="008F7188" w:rsidRDefault="00DE6A89" w:rsidP="00DE6A8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F7188">
        <w:rPr>
          <w:rFonts w:ascii="Times New Roman" w:eastAsia="Times New Roman" w:hAnsi="Times New Roman" w:cs="Times New Roman"/>
          <w:sz w:val="24"/>
          <w:szCs w:val="24"/>
          <w:lang w:eastAsia="es-AR"/>
        </w:rPr>
        <w:lastRenderedPageBreak/>
        <w:t>La doctrina en general está de acuerdo en que corresponde aplicar el procedimiento y régimen sancionatorio que prevé esta norma, no sólo a la violación de lo que prohíbe el artículo 6, sino también a las conductas que no acatan las prohibiciones de los artículos 5 y 7, por lo que la acción contra el infractor podrá intentarse también en el caso de que se altere la estética del edificio, o se trate de actos que comprometan su seguridad y solidez.</w:t>
      </w:r>
    </w:p>
    <w:p w:rsidR="00DE6A89" w:rsidRPr="008F7188" w:rsidRDefault="00DE6A89" w:rsidP="00DE6A8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F7188">
        <w:rPr>
          <w:rFonts w:ascii="Times New Roman" w:eastAsia="Times New Roman" w:hAnsi="Times New Roman" w:cs="Times New Roman"/>
          <w:sz w:val="24"/>
          <w:szCs w:val="24"/>
          <w:lang w:eastAsia="es-AR"/>
        </w:rPr>
        <w:t>Esto significa que se puede iniciar este procedimiento cuando se cometa una infracción dentro de la unidad privativa (v.gr.: ruidos molestos, depósito de mercadería peligrosa, etc.), como cuando se realice una violación en las partes comunes (v.gr.: cerramiento de un patio, uso indebido de la terraza, etc.).</w:t>
      </w:r>
    </w:p>
    <w:p w:rsidR="00DE6A89" w:rsidRPr="008F7188" w:rsidRDefault="00DE6A89" w:rsidP="00DE6A8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F7188">
        <w:rPr>
          <w:rFonts w:ascii="Times New Roman" w:eastAsia="Times New Roman" w:hAnsi="Times New Roman" w:cs="Times New Roman"/>
          <w:sz w:val="24"/>
          <w:szCs w:val="24"/>
          <w:lang w:eastAsia="es-AR"/>
        </w:rPr>
        <w:t xml:space="preserve">El artículo 15 faculta al representante o a los propietarios afectados a formular la denuncia ante el juez competente. En cuanto a quién o quiénes son los propietarios legitimados para accionar se postula establecerlo de acuerdo con la naturaleza de la infracción, porque sólo aquel que demuestre que la violación afecta su interés particular tendrá legitimación procesal propia para intentarlo. Así, si la infracción concierne a una norma legal o del reglamento tal por caso el uso de la unidad contrario a su destino- cualquiera de los copropietarios estará facultado para reclamar judicialmente su cesación; mientras que si aquélla consiste en el uso irregular o abusivo de una unidad </w:t>
      </w:r>
      <w:proofErr w:type="spellStart"/>
      <w:r w:rsidRPr="008F7188">
        <w:rPr>
          <w:rFonts w:ascii="Times New Roman" w:eastAsia="Times New Roman" w:hAnsi="Times New Roman" w:cs="Times New Roman"/>
          <w:sz w:val="24"/>
          <w:szCs w:val="24"/>
          <w:lang w:eastAsia="es-AR"/>
        </w:rPr>
        <w:t>Bv</w:t>
      </w:r>
      <w:proofErr w:type="spellEnd"/>
      <w:r w:rsidRPr="008F7188">
        <w:rPr>
          <w:rFonts w:ascii="Times New Roman" w:eastAsia="Times New Roman" w:hAnsi="Times New Roman" w:cs="Times New Roman"/>
          <w:sz w:val="24"/>
          <w:szCs w:val="24"/>
          <w:lang w:eastAsia="es-AR"/>
        </w:rPr>
        <w:t>. gr.: provocando perturbaciones que exceden la normal tolerancia- sólo estará legitimado el propietario que resulte damnificado por la infracción quien además deberá justificar el daño inferido. Se dice que así se evitan pleitos inútiles motivados en cuestiones personales.</w:t>
      </w:r>
    </w:p>
    <w:p w:rsidR="00DE6A89" w:rsidRPr="008F7188" w:rsidRDefault="00DE6A89" w:rsidP="00DE6A8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F7188">
        <w:rPr>
          <w:rFonts w:ascii="Times New Roman" w:eastAsia="Times New Roman" w:hAnsi="Times New Roman" w:cs="Times New Roman"/>
          <w:sz w:val="24"/>
          <w:szCs w:val="24"/>
          <w:lang w:eastAsia="es-AR"/>
        </w:rPr>
        <w:t xml:space="preserve">Evidentemente, el actor entraría en la condición de "propietario afectado"; y el demandado en la de infractor. Para los temas que aquí se alegan, no parece en principio indispensable la integración de la </w:t>
      </w:r>
      <w:proofErr w:type="spellStart"/>
      <w:r w:rsidRPr="008F7188">
        <w:rPr>
          <w:rFonts w:ascii="Times New Roman" w:eastAsia="Times New Roman" w:hAnsi="Times New Roman" w:cs="Times New Roman"/>
          <w:sz w:val="24"/>
          <w:szCs w:val="24"/>
          <w:lang w:eastAsia="es-AR"/>
        </w:rPr>
        <w:t>litis</w:t>
      </w:r>
      <w:proofErr w:type="spellEnd"/>
      <w:r w:rsidRPr="008F7188">
        <w:rPr>
          <w:rFonts w:ascii="Times New Roman" w:eastAsia="Times New Roman" w:hAnsi="Times New Roman" w:cs="Times New Roman"/>
          <w:sz w:val="24"/>
          <w:szCs w:val="24"/>
          <w:lang w:eastAsia="es-AR"/>
        </w:rPr>
        <w:t xml:space="preserve"> con la tercera propietaria de la restante unidad.</w:t>
      </w:r>
    </w:p>
    <w:p w:rsidR="00DE6A89" w:rsidRPr="008F7188" w:rsidRDefault="00DE6A89" w:rsidP="00DE6A8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F7188">
        <w:rPr>
          <w:rFonts w:ascii="Times New Roman" w:eastAsia="Times New Roman" w:hAnsi="Times New Roman" w:cs="Times New Roman"/>
          <w:sz w:val="24"/>
          <w:szCs w:val="24"/>
          <w:lang w:eastAsia="es-AR"/>
        </w:rPr>
        <w:t>III. Admitido lo expuesto anteriormente, comenzaré por examinar la alegada ocupación en forma exclusiva de espacios comunes. El actor ha señalado que el demandado ocupó sin permiso y en su beneficio el pasillo y la cochera que tienen entrada por el nº 217 de la calle... Aclaro que la unidad del actor tiene entrada independiente por el nº 219 de dicha calle.</w:t>
      </w:r>
    </w:p>
    <w:p w:rsidR="00DE6A89" w:rsidRPr="008F7188" w:rsidRDefault="00DE6A89" w:rsidP="00DE6A8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F7188">
        <w:rPr>
          <w:rFonts w:ascii="Times New Roman" w:eastAsia="Times New Roman" w:hAnsi="Times New Roman" w:cs="Times New Roman"/>
          <w:sz w:val="24"/>
          <w:szCs w:val="24"/>
          <w:lang w:eastAsia="es-AR"/>
        </w:rPr>
        <w:t>El perito ingeniero, al responder las impugnaciones de los demandados, señaló que si bien las entradas son partes comunes del consorcio, "la de... es independiente y que sirve únicamente a la U.F. 2 y la de... es común a las UU FF 1 y 3" (fs. 481). Luego aclaró que si bien del Reglamento surge una superficie de 21,77 m2 como común, ello se refiere "a la superficie que en planta ocupan los muros medianeros y divisorios" (fs. 480 in fine), y que no es común el espacio "hoy usado como guarda coche" (fs. 481).</w:t>
      </w:r>
    </w:p>
    <w:p w:rsidR="00DE6A89" w:rsidRPr="008F7188" w:rsidRDefault="00DE6A89" w:rsidP="00DE6A8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F7188">
        <w:rPr>
          <w:rFonts w:ascii="Times New Roman" w:eastAsia="Times New Roman" w:hAnsi="Times New Roman" w:cs="Times New Roman"/>
          <w:sz w:val="24"/>
          <w:szCs w:val="24"/>
          <w:lang w:eastAsia="es-AR"/>
        </w:rPr>
        <w:t>Al ser así, carece de asidero la pretensión del actor de pretender que ese espacio es común cuando surge que así sea; además, los antecesores de las partes destinaron ese lugar para garaje de uso exclusivo. Aún en la duda, es lógico suponer que si la unidad del actor tiene entrada independiente, la otra entrada sea utilizada únicamente por quien por ella accede a su vivienda. Incluso, como surge del peritaje, la necesidad del actor de contar con una rampa por su discapacidad, puede ser satisfecha por su propia entrada.</w:t>
      </w:r>
    </w:p>
    <w:p w:rsidR="00DE6A89" w:rsidRPr="008F7188" w:rsidRDefault="00DE6A89" w:rsidP="00DE6A8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F7188">
        <w:rPr>
          <w:rFonts w:ascii="Times New Roman" w:eastAsia="Times New Roman" w:hAnsi="Times New Roman" w:cs="Times New Roman"/>
          <w:sz w:val="24"/>
          <w:szCs w:val="24"/>
          <w:lang w:eastAsia="es-AR"/>
        </w:rPr>
        <w:lastRenderedPageBreak/>
        <w:t>El actor invoca en su favor el art. Tercero del Reglamento de Copropiedad, que dice que la entrada por el número 217 es común. Si bien esto es cierto (ver fs. 17), cabe entender que el Reglamento se refiere a la "entrada", sin abarcar el pasillo que la sigue.</w:t>
      </w:r>
    </w:p>
    <w:p w:rsidR="00DE6A89" w:rsidRPr="008F7188" w:rsidRDefault="00DE6A89" w:rsidP="00DE6A8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F7188">
        <w:rPr>
          <w:rFonts w:ascii="Times New Roman" w:eastAsia="Times New Roman" w:hAnsi="Times New Roman" w:cs="Times New Roman"/>
          <w:sz w:val="24"/>
          <w:szCs w:val="24"/>
          <w:lang w:eastAsia="es-AR"/>
        </w:rPr>
        <w:t xml:space="preserve">Aun cuando la cuestión se repute dudosa, parece confirmar esta última idea lo regulado en el comienzo del Reglamento, en el sentido de que la Unidad funcional nº 2 "otorga a favor del consorcio servidumbre de paso para acceso a los medidores de gas" (fs. 13 </w:t>
      </w:r>
      <w:proofErr w:type="spellStart"/>
      <w:r w:rsidRPr="008F7188">
        <w:rPr>
          <w:rFonts w:ascii="Times New Roman" w:eastAsia="Times New Roman" w:hAnsi="Times New Roman" w:cs="Times New Roman"/>
          <w:sz w:val="24"/>
          <w:szCs w:val="24"/>
          <w:lang w:eastAsia="es-AR"/>
        </w:rPr>
        <w:t>vta</w:t>
      </w:r>
      <w:proofErr w:type="spellEnd"/>
      <w:r w:rsidRPr="008F7188">
        <w:rPr>
          <w:rFonts w:ascii="Times New Roman" w:eastAsia="Times New Roman" w:hAnsi="Times New Roman" w:cs="Times New Roman"/>
          <w:sz w:val="24"/>
          <w:szCs w:val="24"/>
          <w:lang w:eastAsia="es-AR"/>
        </w:rPr>
        <w:t>). Ocurre que los medidores de gas se encuentran en dicho lugar, y si no le perteneciera a la unidad nº 2, mal podría haber constituido una servidumbre a favor de los restantes vecinos. Desde el lado del actor, la servidumbre es un derecho real sobre cosa ajena, por lo que no puede alegar que le pertenece el lugar sobre el que es titular al mismo tiempo de una servidumbre.</w:t>
      </w:r>
    </w:p>
    <w:p w:rsidR="00DE6A89" w:rsidRPr="008F7188" w:rsidRDefault="00DE6A89" w:rsidP="00DE6A8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F7188">
        <w:rPr>
          <w:rFonts w:ascii="Times New Roman" w:eastAsia="Times New Roman" w:hAnsi="Times New Roman" w:cs="Times New Roman"/>
          <w:sz w:val="24"/>
          <w:szCs w:val="24"/>
          <w:lang w:eastAsia="es-AR"/>
        </w:rPr>
        <w:t xml:space="preserve">A mayor abundamiento, para confirmar que los antecesores de los actuales titulares destinaron ese espacio a cochera, cabe tener presente lo declarado por algunos testigos. Así, Giradles, vecino del barrio, declaró que alquiló esa parte del inmueble para guardar un vehículo durante el día al entonces propietario Valdez (fs. 320). Valdez ratificó este hecho en su declaración de fs. 324. Lo mismo dijeron las testigos Sosa (fs. 326 </w:t>
      </w:r>
      <w:proofErr w:type="spellStart"/>
      <w:r w:rsidRPr="008F7188">
        <w:rPr>
          <w:rFonts w:ascii="Times New Roman" w:eastAsia="Times New Roman" w:hAnsi="Times New Roman" w:cs="Times New Roman"/>
          <w:sz w:val="24"/>
          <w:szCs w:val="24"/>
          <w:lang w:eastAsia="es-AR"/>
        </w:rPr>
        <w:t>vta</w:t>
      </w:r>
      <w:proofErr w:type="spellEnd"/>
      <w:r w:rsidRPr="008F7188">
        <w:rPr>
          <w:rFonts w:ascii="Times New Roman" w:eastAsia="Times New Roman" w:hAnsi="Times New Roman" w:cs="Times New Roman"/>
          <w:sz w:val="24"/>
          <w:szCs w:val="24"/>
          <w:lang w:eastAsia="es-AR"/>
        </w:rPr>
        <w:t xml:space="preserve">) y </w:t>
      </w:r>
      <w:proofErr w:type="spellStart"/>
      <w:r w:rsidRPr="008F7188">
        <w:rPr>
          <w:rFonts w:ascii="Times New Roman" w:eastAsia="Times New Roman" w:hAnsi="Times New Roman" w:cs="Times New Roman"/>
          <w:sz w:val="24"/>
          <w:szCs w:val="24"/>
          <w:lang w:eastAsia="es-AR"/>
        </w:rPr>
        <w:t>Tropiano</w:t>
      </w:r>
      <w:proofErr w:type="spellEnd"/>
      <w:r w:rsidRPr="008F7188">
        <w:rPr>
          <w:rFonts w:ascii="Times New Roman" w:eastAsia="Times New Roman" w:hAnsi="Times New Roman" w:cs="Times New Roman"/>
          <w:sz w:val="24"/>
          <w:szCs w:val="24"/>
          <w:lang w:eastAsia="es-AR"/>
        </w:rPr>
        <w:t xml:space="preserve"> (fs. 330/1. Esta última conoce bien lo acontecido en el inmueble, ya que se encuentra allí desde un principio, pues es la nuera de quien fuera en su momento titular de todo el lugar, antes de la subdivisión.</w:t>
      </w:r>
    </w:p>
    <w:p w:rsidR="00DE6A89" w:rsidRPr="008F7188" w:rsidRDefault="00DE6A89" w:rsidP="00DE6A8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F7188">
        <w:rPr>
          <w:rFonts w:ascii="Times New Roman" w:eastAsia="Times New Roman" w:hAnsi="Times New Roman" w:cs="Times New Roman"/>
          <w:sz w:val="24"/>
          <w:szCs w:val="24"/>
          <w:lang w:eastAsia="es-AR"/>
        </w:rPr>
        <w:t>En suma, por lo expuesto, este agravio no puede prosperar y cabe confirmar la sentencia apelada.</w:t>
      </w:r>
    </w:p>
    <w:p w:rsidR="00DE6A89" w:rsidRPr="008F7188" w:rsidRDefault="00DE6A89" w:rsidP="00DE6A8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F7188">
        <w:rPr>
          <w:rFonts w:ascii="Times New Roman" w:eastAsia="Times New Roman" w:hAnsi="Times New Roman" w:cs="Times New Roman"/>
          <w:sz w:val="24"/>
          <w:szCs w:val="24"/>
          <w:lang w:eastAsia="es-AR"/>
        </w:rPr>
        <w:t xml:space="preserve">IV. También reclamó el actor en su demanda por una obra realizada en la unidad del demandado. Sostuvo que este último construyó en la parte alta de su unidad, en la azotea, sin autorización, y que ello lo priva de aire y luz, a la vez que alteró los porcentuales del reglamento. Solicitó la demolición y una indemnización por la "mortificación y trastornos ocasionados" (ver fs. 40 </w:t>
      </w:r>
      <w:proofErr w:type="spellStart"/>
      <w:r w:rsidRPr="008F7188">
        <w:rPr>
          <w:rFonts w:ascii="Times New Roman" w:eastAsia="Times New Roman" w:hAnsi="Times New Roman" w:cs="Times New Roman"/>
          <w:sz w:val="24"/>
          <w:szCs w:val="24"/>
          <w:lang w:eastAsia="es-AR"/>
        </w:rPr>
        <w:t>vta</w:t>
      </w:r>
      <w:proofErr w:type="spellEnd"/>
      <w:r w:rsidRPr="008F7188">
        <w:rPr>
          <w:rFonts w:ascii="Times New Roman" w:eastAsia="Times New Roman" w:hAnsi="Times New Roman" w:cs="Times New Roman"/>
          <w:sz w:val="24"/>
          <w:szCs w:val="24"/>
          <w:lang w:eastAsia="es-AR"/>
        </w:rPr>
        <w:t>).</w:t>
      </w:r>
    </w:p>
    <w:p w:rsidR="00DE6A89" w:rsidRPr="008F7188" w:rsidRDefault="00DE6A89" w:rsidP="00DE6A8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F7188">
        <w:rPr>
          <w:rFonts w:ascii="Times New Roman" w:eastAsia="Times New Roman" w:hAnsi="Times New Roman" w:cs="Times New Roman"/>
          <w:sz w:val="24"/>
          <w:szCs w:val="24"/>
          <w:lang w:eastAsia="es-AR"/>
        </w:rPr>
        <w:t xml:space="preserve">La referida testigo </w:t>
      </w:r>
      <w:proofErr w:type="spellStart"/>
      <w:r w:rsidRPr="008F7188">
        <w:rPr>
          <w:rFonts w:ascii="Times New Roman" w:eastAsia="Times New Roman" w:hAnsi="Times New Roman" w:cs="Times New Roman"/>
          <w:sz w:val="24"/>
          <w:szCs w:val="24"/>
          <w:lang w:eastAsia="es-AR"/>
        </w:rPr>
        <w:t>Tropiano</w:t>
      </w:r>
      <w:proofErr w:type="spellEnd"/>
      <w:r w:rsidRPr="008F7188">
        <w:rPr>
          <w:rFonts w:ascii="Times New Roman" w:eastAsia="Times New Roman" w:hAnsi="Times New Roman" w:cs="Times New Roman"/>
          <w:sz w:val="24"/>
          <w:szCs w:val="24"/>
          <w:lang w:eastAsia="es-AR"/>
        </w:rPr>
        <w:t>, titular de una de las unidades y nuera de quien construyó el inmueble y luego lo dividió en propiedad horizontal, declaró que la obra fue realizada con el conformidad de todos (fs. 330). El perito ingeniero informó que la construcción realizada no afecta la iluminación ni la ventilación, y que fue regularizada en el Gobierno de la Ciudad (fs. 452 y 480).</w:t>
      </w:r>
    </w:p>
    <w:p w:rsidR="00DE6A89" w:rsidRPr="008F7188" w:rsidRDefault="00DE6A89" w:rsidP="00DE6A8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F7188">
        <w:rPr>
          <w:rFonts w:ascii="Times New Roman" w:eastAsia="Times New Roman" w:hAnsi="Times New Roman" w:cs="Times New Roman"/>
          <w:sz w:val="24"/>
          <w:szCs w:val="24"/>
          <w:lang w:eastAsia="es-AR"/>
        </w:rPr>
        <w:t>Al ser así, y ante la falta de todo perjuicio no corresponde aceptar la pretensión de que sea demolida. No obstante, no puedo ignorar que la obra altera los porcentuales y la superficie cubierta que se ha previsto en el Reglamento y que, cuando se la autorizó, los involucrados no corrigieron esta situación desde el punto de vista formal, con la modificación pertinente; ni siquiera se ha presentado un acta de asamblea en este sentido.</w:t>
      </w:r>
    </w:p>
    <w:p w:rsidR="00DE6A89" w:rsidRPr="008F7188" w:rsidRDefault="00DE6A89" w:rsidP="00DE6A8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F7188">
        <w:rPr>
          <w:rFonts w:ascii="Times New Roman" w:eastAsia="Times New Roman" w:hAnsi="Times New Roman" w:cs="Times New Roman"/>
          <w:sz w:val="24"/>
          <w:szCs w:val="24"/>
          <w:lang w:eastAsia="es-AR"/>
        </w:rPr>
        <w:t xml:space="preserve">En el futuro, los </w:t>
      </w:r>
      <w:proofErr w:type="spellStart"/>
      <w:r w:rsidRPr="008F7188">
        <w:rPr>
          <w:rFonts w:ascii="Times New Roman" w:eastAsia="Times New Roman" w:hAnsi="Times New Roman" w:cs="Times New Roman"/>
          <w:sz w:val="24"/>
          <w:szCs w:val="24"/>
          <w:lang w:eastAsia="es-AR"/>
        </w:rPr>
        <w:t>consorcistas</w:t>
      </w:r>
      <w:proofErr w:type="spellEnd"/>
      <w:r w:rsidRPr="008F7188">
        <w:rPr>
          <w:rFonts w:ascii="Times New Roman" w:eastAsia="Times New Roman" w:hAnsi="Times New Roman" w:cs="Times New Roman"/>
          <w:sz w:val="24"/>
          <w:szCs w:val="24"/>
          <w:lang w:eastAsia="es-AR"/>
        </w:rPr>
        <w:t xml:space="preserve"> deberían modificar el Reglamento y adecuarlo a esta nueva situación, materia que excede el ámbito de este juicio. Sí, en cambio, considero que esta circunstancia se refleja en un perjuicio patrimonial para el actor, pues de alguna manera incide en el valor de su propia unidad.</w:t>
      </w:r>
    </w:p>
    <w:p w:rsidR="00DE6A89" w:rsidRPr="008F7188" w:rsidRDefault="00DE6A89" w:rsidP="00DE6A8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F7188">
        <w:rPr>
          <w:rFonts w:ascii="Times New Roman" w:eastAsia="Times New Roman" w:hAnsi="Times New Roman" w:cs="Times New Roman"/>
          <w:sz w:val="24"/>
          <w:szCs w:val="24"/>
          <w:lang w:eastAsia="es-AR"/>
        </w:rPr>
        <w:lastRenderedPageBreak/>
        <w:t>Propongo que se admita parcialmente este agravio, y que se condene al demandado a abonarle un resarcimiento de $5.000, con más sus intereses a la tasa activa, a partir de la notificación de la demanda.</w:t>
      </w:r>
    </w:p>
    <w:p w:rsidR="00DE6A89" w:rsidRPr="008F7188" w:rsidRDefault="00DE6A89" w:rsidP="00DE6A8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F7188">
        <w:rPr>
          <w:rFonts w:ascii="Times New Roman" w:eastAsia="Times New Roman" w:hAnsi="Times New Roman" w:cs="Times New Roman"/>
          <w:sz w:val="24"/>
          <w:szCs w:val="24"/>
          <w:lang w:eastAsia="es-AR"/>
        </w:rPr>
        <w:t>V. El actor reclama una indemnización por supuestas agresiones verbales y físicas sufridas a manos del demandado, los días 13 de noviembre de 2003 y 24 de marzo de 2004 (ver fs. 38/9 del escrito de demanda). En su expresión de agravios alude a octubre de 2004. Alega que el demandado lo insultó, lo amenazó, y le introdujo en su departamento una manguera a través de la cual mojó sus enseres.</w:t>
      </w:r>
    </w:p>
    <w:p w:rsidR="00DE6A89" w:rsidRPr="008F7188" w:rsidRDefault="00DE6A89" w:rsidP="00DE6A8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F7188">
        <w:rPr>
          <w:rFonts w:ascii="Times New Roman" w:eastAsia="Times New Roman" w:hAnsi="Times New Roman" w:cs="Times New Roman"/>
          <w:sz w:val="24"/>
          <w:szCs w:val="24"/>
          <w:lang w:eastAsia="es-AR"/>
        </w:rPr>
        <w:t>En cuanto al hecho supuestamente ocurrido el 13 de noviembre de 2003, el actor expresa en su escrito de expresión de agravios que el juzgado no requirió la causa que tramitaría ante el Juzgado Criminal y Correccional nº 11 por "amenazas". Sin embargo, por un lado, el actor debió instar esta diligencia (ver a fs. 378 lo que ocurrió con un oficio mal diligenciado) y, por otro lado, no indica qué surgiría de dicha causa que permitiría esclarecer la presente.</w:t>
      </w:r>
    </w:p>
    <w:p w:rsidR="00DE6A89" w:rsidRPr="008F7188" w:rsidRDefault="00DE6A89" w:rsidP="00DE6A8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F7188">
        <w:rPr>
          <w:rFonts w:ascii="Times New Roman" w:eastAsia="Times New Roman" w:hAnsi="Times New Roman" w:cs="Times New Roman"/>
          <w:sz w:val="24"/>
          <w:szCs w:val="24"/>
          <w:lang w:eastAsia="es-AR"/>
        </w:rPr>
        <w:t>Fuera de la conflictiva situación que viven las partes y su difícil convivencia, lo cierto es que no hay pruebas concretas de estos hechos, fuera de la escueta declaración de un testigo a fs. 372. El a quo tuvo en cuenta las constancias de la causa penal, que dan cuenta de circunstancias que no constituyen delito, y que reflejarían esa convivencia poco armoniosa.</w:t>
      </w:r>
    </w:p>
    <w:p w:rsidR="00DE6A89" w:rsidRPr="008F7188" w:rsidRDefault="00DE6A89" w:rsidP="00DE6A8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F7188">
        <w:rPr>
          <w:rFonts w:ascii="Times New Roman" w:eastAsia="Times New Roman" w:hAnsi="Times New Roman" w:cs="Times New Roman"/>
          <w:sz w:val="24"/>
          <w:szCs w:val="24"/>
          <w:lang w:eastAsia="es-AR"/>
        </w:rPr>
        <w:t>En cuanto al otro hecho, el Fiscal interviniente consideró que no había delito penal cuando se trata de situaciones de ira o de ofuscación. Advierto que se refirió a los hechos relatados por el actor, sin que se advierta la realización de prueba alguna en sede penal tendiente a comprobar lo denunciado (ver fs. 390/3).</w:t>
      </w:r>
    </w:p>
    <w:p w:rsidR="00DE6A89" w:rsidRPr="008F7188" w:rsidRDefault="00DE6A89" w:rsidP="00DE6A8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F7188">
        <w:rPr>
          <w:rFonts w:ascii="Times New Roman" w:eastAsia="Times New Roman" w:hAnsi="Times New Roman" w:cs="Times New Roman"/>
          <w:sz w:val="24"/>
          <w:szCs w:val="24"/>
          <w:lang w:eastAsia="es-AR"/>
        </w:rPr>
        <w:t>Considero que este agravio no puede ser acogido.</w:t>
      </w:r>
    </w:p>
    <w:p w:rsidR="00DE6A89" w:rsidRPr="008F7188" w:rsidRDefault="00DE6A89" w:rsidP="00DE6A8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F7188">
        <w:rPr>
          <w:rFonts w:ascii="Times New Roman" w:eastAsia="Times New Roman" w:hAnsi="Times New Roman" w:cs="Times New Roman"/>
          <w:sz w:val="24"/>
          <w:szCs w:val="24"/>
          <w:lang w:eastAsia="es-AR"/>
        </w:rPr>
        <w:t>VI. Por último, el actor también reclamó por la emisión de humo y olores que provendrían de la cocina de la unidad del demandado, que linda con su dormitorio. Relata la inexistencia de una pared divisoria entre ambas unidades, y que la situación se agrava porque ocupa en forma exclusiva el lugar destinado a garaje.</w:t>
      </w:r>
    </w:p>
    <w:p w:rsidR="00DE6A89" w:rsidRPr="008F7188" w:rsidRDefault="00DE6A89" w:rsidP="00DE6A8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F7188">
        <w:rPr>
          <w:rFonts w:ascii="Times New Roman" w:eastAsia="Times New Roman" w:hAnsi="Times New Roman" w:cs="Times New Roman"/>
          <w:sz w:val="24"/>
          <w:szCs w:val="24"/>
          <w:lang w:eastAsia="es-AR"/>
        </w:rPr>
        <w:t xml:space="preserve">El juez de primera instancia desestimó la pretensión al entender que la situación se debe, en parte, a la particular división de ambos inmuebles, ya que hacía de pared el </w:t>
      </w:r>
      <w:proofErr w:type="spellStart"/>
      <w:r w:rsidRPr="008F7188">
        <w:rPr>
          <w:rFonts w:ascii="Times New Roman" w:eastAsia="Times New Roman" w:hAnsi="Times New Roman" w:cs="Times New Roman"/>
          <w:sz w:val="24"/>
          <w:szCs w:val="24"/>
          <w:lang w:eastAsia="es-AR"/>
        </w:rPr>
        <w:t>contrafrente</w:t>
      </w:r>
      <w:proofErr w:type="spellEnd"/>
      <w:r w:rsidRPr="008F7188">
        <w:rPr>
          <w:rFonts w:ascii="Times New Roman" w:eastAsia="Times New Roman" w:hAnsi="Times New Roman" w:cs="Times New Roman"/>
          <w:sz w:val="24"/>
          <w:szCs w:val="24"/>
          <w:lang w:eastAsia="es-AR"/>
        </w:rPr>
        <w:t xml:space="preserve"> de un </w:t>
      </w:r>
      <w:proofErr w:type="spellStart"/>
      <w:r w:rsidRPr="008F7188">
        <w:rPr>
          <w:rFonts w:ascii="Times New Roman" w:eastAsia="Times New Roman" w:hAnsi="Times New Roman" w:cs="Times New Roman"/>
          <w:sz w:val="24"/>
          <w:szCs w:val="24"/>
          <w:lang w:eastAsia="es-AR"/>
        </w:rPr>
        <w:t>placard</w:t>
      </w:r>
      <w:proofErr w:type="spellEnd"/>
      <w:r w:rsidRPr="008F7188">
        <w:rPr>
          <w:rFonts w:ascii="Times New Roman" w:eastAsia="Times New Roman" w:hAnsi="Times New Roman" w:cs="Times New Roman"/>
          <w:sz w:val="24"/>
          <w:szCs w:val="24"/>
          <w:lang w:eastAsia="es-AR"/>
        </w:rPr>
        <w:t xml:space="preserve"> de madera y que, en definitiva, fue el propio demandado quien construyó una pared divisoria. Agregó que, según los testigos, humo y olor, así como ruidos, salían del inmueble del actor (fs. 569 </w:t>
      </w:r>
      <w:proofErr w:type="spellStart"/>
      <w:r w:rsidRPr="008F7188">
        <w:rPr>
          <w:rFonts w:ascii="Times New Roman" w:eastAsia="Times New Roman" w:hAnsi="Times New Roman" w:cs="Times New Roman"/>
          <w:sz w:val="24"/>
          <w:szCs w:val="24"/>
          <w:lang w:eastAsia="es-AR"/>
        </w:rPr>
        <w:t>vta</w:t>
      </w:r>
      <w:proofErr w:type="spellEnd"/>
      <w:r w:rsidRPr="008F7188">
        <w:rPr>
          <w:rFonts w:ascii="Times New Roman" w:eastAsia="Times New Roman" w:hAnsi="Times New Roman" w:cs="Times New Roman"/>
          <w:sz w:val="24"/>
          <w:szCs w:val="24"/>
          <w:lang w:eastAsia="es-AR"/>
        </w:rPr>
        <w:t>).</w:t>
      </w:r>
    </w:p>
    <w:p w:rsidR="00DE6A89" w:rsidRPr="008F7188" w:rsidRDefault="00DE6A89" w:rsidP="00DE6A8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F7188">
        <w:rPr>
          <w:rFonts w:ascii="Times New Roman" w:eastAsia="Times New Roman" w:hAnsi="Times New Roman" w:cs="Times New Roman"/>
          <w:sz w:val="24"/>
          <w:szCs w:val="24"/>
          <w:lang w:eastAsia="es-AR"/>
        </w:rPr>
        <w:t xml:space="preserve">El actor, en su expresión de agravios, parte de la premisa que "la sentencia tiene por probados el humo y los olores del demandado" (fs. 606 </w:t>
      </w:r>
      <w:proofErr w:type="spellStart"/>
      <w:r w:rsidRPr="008F7188">
        <w:rPr>
          <w:rFonts w:ascii="Times New Roman" w:eastAsia="Times New Roman" w:hAnsi="Times New Roman" w:cs="Times New Roman"/>
          <w:sz w:val="24"/>
          <w:szCs w:val="24"/>
          <w:lang w:eastAsia="es-AR"/>
        </w:rPr>
        <w:t>vta</w:t>
      </w:r>
      <w:proofErr w:type="spellEnd"/>
      <w:r w:rsidRPr="008F7188">
        <w:rPr>
          <w:rFonts w:ascii="Times New Roman" w:eastAsia="Times New Roman" w:hAnsi="Times New Roman" w:cs="Times New Roman"/>
          <w:sz w:val="24"/>
          <w:szCs w:val="24"/>
          <w:lang w:eastAsia="es-AR"/>
        </w:rPr>
        <w:t>). En mi opinión, no hay una prueba concluyente en este sentido, con excepción de lo declarado por el único testigo ofrecido por el actor, cuya declaración puede verse a fs. 372.</w:t>
      </w:r>
    </w:p>
    <w:p w:rsidR="00DE6A89" w:rsidRPr="008F7188" w:rsidRDefault="00DE6A89" w:rsidP="00DE6A8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F7188">
        <w:rPr>
          <w:rFonts w:ascii="Times New Roman" w:eastAsia="Times New Roman" w:hAnsi="Times New Roman" w:cs="Times New Roman"/>
          <w:sz w:val="24"/>
          <w:szCs w:val="24"/>
          <w:lang w:eastAsia="es-AR"/>
        </w:rPr>
        <w:lastRenderedPageBreak/>
        <w:t>Es presumible, entonces, que por la forma en que fue construido el inmueble y su particular división, ciertos olores deben existir y deben ser muy difíciles de evitar. El actor no puede verse sorprendido, ya que habrá valorado estas molestias al comprar su unidad.</w:t>
      </w:r>
    </w:p>
    <w:p w:rsidR="00DE6A89" w:rsidRPr="008F7188" w:rsidRDefault="00DE6A89" w:rsidP="00DE6A8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F7188">
        <w:rPr>
          <w:rFonts w:ascii="Times New Roman" w:eastAsia="Times New Roman" w:hAnsi="Times New Roman" w:cs="Times New Roman"/>
          <w:sz w:val="24"/>
          <w:szCs w:val="24"/>
          <w:lang w:eastAsia="es-AR"/>
        </w:rPr>
        <w:t xml:space="preserve">Ahora bien, el perito ingeniero señaló que el cerramiento hecho por el demandado en el patio de la planta baja no era apto para aislar humo y olores, y que no era necesaria una remoción total, sino que bastaba con el retiro de la parte correspondiente al sector del patio (fs. 452 </w:t>
      </w:r>
      <w:proofErr w:type="spellStart"/>
      <w:r w:rsidRPr="008F7188">
        <w:rPr>
          <w:rFonts w:ascii="Times New Roman" w:eastAsia="Times New Roman" w:hAnsi="Times New Roman" w:cs="Times New Roman"/>
          <w:sz w:val="24"/>
          <w:szCs w:val="24"/>
          <w:lang w:eastAsia="es-AR"/>
        </w:rPr>
        <w:t>vta</w:t>
      </w:r>
      <w:proofErr w:type="spellEnd"/>
      <w:r w:rsidRPr="008F7188">
        <w:rPr>
          <w:rFonts w:ascii="Times New Roman" w:eastAsia="Times New Roman" w:hAnsi="Times New Roman" w:cs="Times New Roman"/>
          <w:sz w:val="24"/>
          <w:szCs w:val="24"/>
          <w:lang w:eastAsia="es-AR"/>
        </w:rPr>
        <w:t xml:space="preserve"> y 480).</w:t>
      </w:r>
    </w:p>
    <w:p w:rsidR="00DE6A89" w:rsidRPr="008F7188" w:rsidRDefault="00DE6A89" w:rsidP="00DE6A8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F7188">
        <w:rPr>
          <w:rFonts w:ascii="Times New Roman" w:eastAsia="Times New Roman" w:hAnsi="Times New Roman" w:cs="Times New Roman"/>
          <w:sz w:val="24"/>
          <w:szCs w:val="24"/>
          <w:lang w:eastAsia="es-AR"/>
        </w:rPr>
        <w:t xml:space="preserve">Por ende, teniendo en cuenta que el actor en su escrito de demanda, además de un resarcimiento, reclamó también "el inmediato cese del humo y olores que se describen" (ver fs. 41 </w:t>
      </w:r>
      <w:proofErr w:type="spellStart"/>
      <w:r w:rsidRPr="008F7188">
        <w:rPr>
          <w:rFonts w:ascii="Times New Roman" w:eastAsia="Times New Roman" w:hAnsi="Times New Roman" w:cs="Times New Roman"/>
          <w:sz w:val="24"/>
          <w:szCs w:val="24"/>
          <w:lang w:eastAsia="es-AR"/>
        </w:rPr>
        <w:t>vta</w:t>
      </w:r>
      <w:proofErr w:type="spellEnd"/>
      <w:r w:rsidRPr="008F7188">
        <w:rPr>
          <w:rFonts w:ascii="Times New Roman" w:eastAsia="Times New Roman" w:hAnsi="Times New Roman" w:cs="Times New Roman"/>
          <w:sz w:val="24"/>
          <w:szCs w:val="24"/>
          <w:lang w:eastAsia="es-AR"/>
        </w:rPr>
        <w:t>), entiendo que debe ser acogido parcialmente el agravio y condenarse al demandado a la realización de la obra pertinente para una mejor ventilación de su unidad.</w:t>
      </w:r>
    </w:p>
    <w:p w:rsidR="00DE6A89" w:rsidRPr="008F7188" w:rsidRDefault="00DE6A89" w:rsidP="00DE6A8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F7188">
        <w:rPr>
          <w:rFonts w:ascii="Times New Roman" w:eastAsia="Times New Roman" w:hAnsi="Times New Roman" w:cs="Times New Roman"/>
          <w:sz w:val="24"/>
          <w:szCs w:val="24"/>
          <w:lang w:eastAsia="es-AR"/>
        </w:rPr>
        <w:t>Por todo lo expuesto, voto para que se revoque parcialmente la sentencia apelada y para que se condene al demandado a abonarle al actor, en el plazo de 10 días, la suma de pesos cinco mil ($ 5.000) con más sus intereses, y a realizar en el plazo de 30 días la adecuación del toldo para favorecer la ventilación, y que se la confirme en todo lo demás que decide; con costas de ambas instancias en un 60% a cargo del actor, quien fue vencido en la mayor parte de sus pretensiones.</w:t>
      </w:r>
    </w:p>
    <w:p w:rsidR="00DE6A89" w:rsidRPr="008F7188" w:rsidRDefault="00DE6A89" w:rsidP="00DE6A8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F7188">
        <w:rPr>
          <w:rFonts w:ascii="Times New Roman" w:eastAsia="Times New Roman" w:hAnsi="Times New Roman" w:cs="Times New Roman"/>
          <w:sz w:val="24"/>
          <w:szCs w:val="24"/>
          <w:lang w:eastAsia="es-AR"/>
        </w:rPr>
        <w:t xml:space="preserve">La doctora Liliana E. </w:t>
      </w:r>
      <w:proofErr w:type="spellStart"/>
      <w:r w:rsidRPr="008F7188">
        <w:rPr>
          <w:rFonts w:ascii="Times New Roman" w:eastAsia="Times New Roman" w:hAnsi="Times New Roman" w:cs="Times New Roman"/>
          <w:sz w:val="24"/>
          <w:szCs w:val="24"/>
          <w:lang w:eastAsia="es-AR"/>
        </w:rPr>
        <w:t>Abreut</w:t>
      </w:r>
      <w:proofErr w:type="spellEnd"/>
      <w:r w:rsidRPr="008F7188">
        <w:rPr>
          <w:rFonts w:ascii="Times New Roman" w:eastAsia="Times New Roman" w:hAnsi="Times New Roman" w:cs="Times New Roman"/>
          <w:sz w:val="24"/>
          <w:szCs w:val="24"/>
          <w:lang w:eastAsia="es-AR"/>
        </w:rPr>
        <w:t xml:space="preserve"> de </w:t>
      </w:r>
      <w:proofErr w:type="spellStart"/>
      <w:r w:rsidRPr="008F7188">
        <w:rPr>
          <w:rFonts w:ascii="Times New Roman" w:eastAsia="Times New Roman" w:hAnsi="Times New Roman" w:cs="Times New Roman"/>
          <w:sz w:val="24"/>
          <w:szCs w:val="24"/>
          <w:lang w:eastAsia="es-AR"/>
        </w:rPr>
        <w:t>Begher</w:t>
      </w:r>
      <w:proofErr w:type="spellEnd"/>
      <w:r w:rsidRPr="008F7188">
        <w:rPr>
          <w:rFonts w:ascii="Times New Roman" w:eastAsia="Times New Roman" w:hAnsi="Times New Roman" w:cs="Times New Roman"/>
          <w:sz w:val="24"/>
          <w:szCs w:val="24"/>
          <w:lang w:eastAsia="es-AR"/>
        </w:rPr>
        <w:t xml:space="preserve">, por las consideraciones expuestas por el doctor </w:t>
      </w:r>
      <w:proofErr w:type="spellStart"/>
      <w:r w:rsidRPr="008F7188">
        <w:rPr>
          <w:rFonts w:ascii="Times New Roman" w:eastAsia="Times New Roman" w:hAnsi="Times New Roman" w:cs="Times New Roman"/>
          <w:sz w:val="24"/>
          <w:szCs w:val="24"/>
          <w:lang w:eastAsia="es-AR"/>
        </w:rPr>
        <w:t>Kiper</w:t>
      </w:r>
      <w:proofErr w:type="spellEnd"/>
      <w:r w:rsidRPr="008F7188">
        <w:rPr>
          <w:rFonts w:ascii="Times New Roman" w:eastAsia="Times New Roman" w:hAnsi="Times New Roman" w:cs="Times New Roman"/>
          <w:sz w:val="24"/>
          <w:szCs w:val="24"/>
          <w:lang w:eastAsia="es-AR"/>
        </w:rPr>
        <w:t xml:space="preserve">, adhiere al voto que antecede. El doctor Mayo no firma por hallarse en uso de licencia (art. 22 del </w:t>
      </w:r>
      <w:proofErr w:type="spellStart"/>
      <w:r w:rsidRPr="008F7188">
        <w:rPr>
          <w:rFonts w:ascii="Times New Roman" w:eastAsia="Times New Roman" w:hAnsi="Times New Roman" w:cs="Times New Roman"/>
          <w:sz w:val="24"/>
          <w:szCs w:val="24"/>
          <w:lang w:eastAsia="es-AR"/>
        </w:rPr>
        <w:t>RLMFyEJN</w:t>
      </w:r>
      <w:proofErr w:type="spellEnd"/>
      <w:r w:rsidRPr="008F7188">
        <w:rPr>
          <w:rFonts w:ascii="Times New Roman" w:eastAsia="Times New Roman" w:hAnsi="Times New Roman" w:cs="Times New Roman"/>
          <w:sz w:val="24"/>
          <w:szCs w:val="24"/>
          <w:lang w:eastAsia="es-AR"/>
        </w:rPr>
        <w:t>).</w:t>
      </w:r>
    </w:p>
    <w:p w:rsidR="00DE6A89" w:rsidRPr="008F7188" w:rsidRDefault="00DE6A89" w:rsidP="00DE6A8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F7188">
        <w:rPr>
          <w:rFonts w:ascii="Times New Roman" w:eastAsia="Times New Roman" w:hAnsi="Times New Roman" w:cs="Times New Roman"/>
          <w:sz w:val="24"/>
          <w:szCs w:val="24"/>
          <w:lang w:eastAsia="es-AR"/>
        </w:rPr>
        <w:t>Y visto, lo deliberado y conclusiones establecidas en el acuerdo transcripto precedentemente, por unanimidad de votos, el Tribunal decide:</w:t>
      </w:r>
    </w:p>
    <w:p w:rsidR="00DE6A89" w:rsidRPr="008F7188" w:rsidRDefault="00DE6A89" w:rsidP="00DE6A8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F7188">
        <w:rPr>
          <w:rFonts w:ascii="Times New Roman" w:eastAsia="Times New Roman" w:hAnsi="Times New Roman" w:cs="Times New Roman"/>
          <w:sz w:val="24"/>
          <w:szCs w:val="24"/>
          <w:lang w:eastAsia="es-AR"/>
        </w:rPr>
        <w:t>Revocar parcialmente la sentencia apelada, condenando al demandado a abonarle al actor, en el plazo de 10 días, la suma de pesos cinco mil ($ 5.000) con más sus intereses y a realizar en el plazo de 30 días la adecuación del toldo para favorecer la ventilación, confirmándola en todo lo demás que decide; con costas de ambas instancias en un 60% a cargo del actor, quien fue vencido en la mayor parte de sus pretensiones.</w:t>
      </w:r>
    </w:p>
    <w:p w:rsidR="00DE6A89" w:rsidRPr="008F7188" w:rsidRDefault="00DE6A89" w:rsidP="00DE6A8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F7188">
        <w:rPr>
          <w:rFonts w:ascii="Times New Roman" w:eastAsia="Times New Roman" w:hAnsi="Times New Roman" w:cs="Times New Roman"/>
          <w:sz w:val="24"/>
          <w:szCs w:val="24"/>
          <w:lang w:eastAsia="es-AR"/>
        </w:rPr>
        <w:t xml:space="preserve">Regístrese, notifíquese y oportunamente, devuélvase. — Liliana E. </w:t>
      </w:r>
      <w:proofErr w:type="spellStart"/>
      <w:r w:rsidRPr="008F7188">
        <w:rPr>
          <w:rFonts w:ascii="Times New Roman" w:eastAsia="Times New Roman" w:hAnsi="Times New Roman" w:cs="Times New Roman"/>
          <w:sz w:val="24"/>
          <w:szCs w:val="24"/>
          <w:lang w:eastAsia="es-AR"/>
        </w:rPr>
        <w:t>Abreut</w:t>
      </w:r>
      <w:proofErr w:type="spellEnd"/>
      <w:r w:rsidRPr="008F7188">
        <w:rPr>
          <w:rFonts w:ascii="Times New Roman" w:eastAsia="Times New Roman" w:hAnsi="Times New Roman" w:cs="Times New Roman"/>
          <w:sz w:val="24"/>
          <w:szCs w:val="24"/>
          <w:lang w:eastAsia="es-AR"/>
        </w:rPr>
        <w:t xml:space="preserve"> de </w:t>
      </w:r>
      <w:proofErr w:type="spellStart"/>
      <w:r w:rsidRPr="008F7188">
        <w:rPr>
          <w:rFonts w:ascii="Times New Roman" w:eastAsia="Times New Roman" w:hAnsi="Times New Roman" w:cs="Times New Roman"/>
          <w:sz w:val="24"/>
          <w:szCs w:val="24"/>
          <w:lang w:eastAsia="es-AR"/>
        </w:rPr>
        <w:t>Begher</w:t>
      </w:r>
      <w:proofErr w:type="spellEnd"/>
      <w:r w:rsidRPr="008F7188">
        <w:rPr>
          <w:rFonts w:ascii="Times New Roman" w:eastAsia="Times New Roman" w:hAnsi="Times New Roman" w:cs="Times New Roman"/>
          <w:sz w:val="24"/>
          <w:szCs w:val="24"/>
          <w:lang w:eastAsia="es-AR"/>
        </w:rPr>
        <w:t xml:space="preserve">. — Claudio M. </w:t>
      </w:r>
      <w:proofErr w:type="spellStart"/>
      <w:r w:rsidRPr="008F7188">
        <w:rPr>
          <w:rFonts w:ascii="Times New Roman" w:eastAsia="Times New Roman" w:hAnsi="Times New Roman" w:cs="Times New Roman"/>
          <w:sz w:val="24"/>
          <w:szCs w:val="24"/>
          <w:lang w:eastAsia="es-AR"/>
        </w:rPr>
        <w:t>Kiper</w:t>
      </w:r>
      <w:proofErr w:type="spellEnd"/>
      <w:r w:rsidRPr="008F7188">
        <w:rPr>
          <w:rFonts w:ascii="Times New Roman" w:eastAsia="Times New Roman" w:hAnsi="Times New Roman" w:cs="Times New Roman"/>
          <w:sz w:val="24"/>
          <w:szCs w:val="24"/>
          <w:lang w:eastAsia="es-AR"/>
        </w:rPr>
        <w:t xml:space="preserve">. </w:t>
      </w:r>
    </w:p>
    <w:p w:rsidR="00DE6A89" w:rsidRPr="008F7188" w:rsidRDefault="00DE6A89" w:rsidP="00DE6A89">
      <w:pPr>
        <w:spacing w:after="0" w:line="240" w:lineRule="auto"/>
        <w:jc w:val="both"/>
        <w:rPr>
          <w:rFonts w:ascii="Times New Roman" w:eastAsia="Times New Roman" w:hAnsi="Times New Roman" w:cs="Times New Roman"/>
          <w:sz w:val="24"/>
          <w:szCs w:val="24"/>
          <w:lang w:eastAsia="es-AR"/>
        </w:rPr>
      </w:pPr>
      <w:r w:rsidRPr="008F7188">
        <w:rPr>
          <w:rFonts w:ascii="Times New Roman" w:eastAsia="Times New Roman" w:hAnsi="Times New Roman" w:cs="Times New Roman"/>
          <w:sz w:val="24"/>
          <w:szCs w:val="24"/>
          <w:lang w:eastAsia="es-AR"/>
        </w:rPr>
        <w:t> </w:t>
      </w:r>
    </w:p>
    <w:p w:rsidR="00DE6A89" w:rsidRPr="008F7188" w:rsidRDefault="00DE6A89" w:rsidP="00DE6A89">
      <w:pPr>
        <w:spacing w:after="0" w:line="240" w:lineRule="auto"/>
        <w:jc w:val="both"/>
        <w:rPr>
          <w:rFonts w:ascii="Times New Roman" w:eastAsia="Times New Roman" w:hAnsi="Times New Roman" w:cs="Times New Roman"/>
          <w:sz w:val="24"/>
          <w:szCs w:val="24"/>
          <w:lang w:eastAsia="es-AR"/>
        </w:rPr>
      </w:pPr>
      <w:r w:rsidRPr="008F7188">
        <w:rPr>
          <w:rFonts w:ascii="Times New Roman" w:eastAsia="Times New Roman" w:hAnsi="Times New Roman" w:cs="Times New Roman"/>
          <w:sz w:val="24"/>
          <w:szCs w:val="24"/>
          <w:lang w:eastAsia="es-AR"/>
        </w:rPr>
        <w:t> </w:t>
      </w:r>
    </w:p>
    <w:p w:rsidR="00DE6A89" w:rsidRDefault="00DE6A89" w:rsidP="00DE6A89">
      <w:pPr>
        <w:jc w:val="both"/>
      </w:pPr>
    </w:p>
    <w:p w:rsidR="00467085" w:rsidRDefault="00467085"/>
    <w:sectPr w:rsidR="00467085"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2"/>
  </w:compat>
  <w:rsids>
    <w:rsidRoot w:val="00DE6A89"/>
    <w:rsid w:val="00467085"/>
    <w:rsid w:val="007A0ABB"/>
    <w:rsid w:val="00A32D5F"/>
    <w:rsid w:val="00DE6A8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A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2227</Words>
  <Characters>12253</Characters>
  <Application>Microsoft Office Word</Application>
  <DocSecurity>0</DocSecurity>
  <Lines>102</Lines>
  <Paragraphs>28</Paragraphs>
  <ScaleCrop>false</ScaleCrop>
  <Company/>
  <LinksUpToDate>false</LinksUpToDate>
  <CharactersWithSpaces>14452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2</cp:revision>
  <dcterms:created xsi:type="dcterms:W3CDTF">2012-01-27T18:07:00Z</dcterms:created>
  <dcterms:modified xsi:type="dcterms:W3CDTF">2014-04-23T13:15:00Z</dcterms:modified>
</cp:coreProperties>
</file>