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36F" w:rsidRPr="00F655E4" w:rsidRDefault="005A536F" w:rsidP="005A536F">
      <w:pPr>
        <w:spacing w:before="100" w:beforeAutospacing="1" w:after="100" w:afterAutospacing="1" w:line="240" w:lineRule="auto"/>
        <w:jc w:val="both"/>
        <w:rPr>
          <w:rFonts w:ascii="Times New Roman" w:eastAsia="Times New Roman" w:hAnsi="Times New Roman" w:cs="Times New Roman"/>
          <w:sz w:val="24"/>
          <w:szCs w:val="24"/>
          <w:lang w:eastAsia="es-AR"/>
        </w:rPr>
      </w:pPr>
      <w:bookmarkStart w:id="0" w:name="_GoBack"/>
      <w:bookmarkEnd w:id="0"/>
      <w:r w:rsidRPr="00F655E4">
        <w:rPr>
          <w:rFonts w:ascii="Times New Roman" w:eastAsia="Times New Roman" w:hAnsi="Times New Roman" w:cs="Times New Roman"/>
          <w:sz w:val="24"/>
          <w:szCs w:val="24"/>
          <w:lang w:eastAsia="es-AR"/>
        </w:rPr>
        <w:t>Cámara Nacional de Apelaciones en lo Civil, sala J</w:t>
      </w:r>
    </w:p>
    <w:p w:rsidR="005A536F" w:rsidRPr="00F655E4" w:rsidRDefault="005A536F" w:rsidP="005A536F">
      <w:pPr>
        <w:spacing w:after="0" w:line="240" w:lineRule="auto"/>
        <w:jc w:val="both"/>
        <w:rPr>
          <w:rFonts w:ascii="Times New Roman" w:eastAsia="Times New Roman" w:hAnsi="Times New Roman" w:cs="Times New Roman"/>
          <w:sz w:val="24"/>
          <w:szCs w:val="24"/>
          <w:lang w:eastAsia="es-AR"/>
        </w:rPr>
      </w:pPr>
      <w:r w:rsidRPr="00F655E4">
        <w:rPr>
          <w:rFonts w:ascii="Times New Roman" w:eastAsia="Times New Roman" w:hAnsi="Times New Roman" w:cs="Times New Roman"/>
          <w:sz w:val="24"/>
          <w:szCs w:val="24"/>
          <w:lang w:eastAsia="es-AR"/>
        </w:rPr>
        <w:t xml:space="preserve">C., E. G. • 04/04/2011  </w:t>
      </w:r>
    </w:p>
    <w:p w:rsidR="005A536F" w:rsidRPr="00F655E4" w:rsidRDefault="005A536F" w:rsidP="005A536F">
      <w:pPr>
        <w:spacing w:after="240" w:line="240" w:lineRule="auto"/>
        <w:jc w:val="both"/>
        <w:rPr>
          <w:rFonts w:ascii="Times New Roman" w:eastAsia="Times New Roman" w:hAnsi="Times New Roman" w:cs="Times New Roman"/>
          <w:sz w:val="24"/>
          <w:szCs w:val="24"/>
          <w:lang w:eastAsia="es-AR"/>
        </w:rPr>
      </w:pPr>
    </w:p>
    <w:p w:rsidR="005A536F" w:rsidRPr="00F655E4" w:rsidRDefault="005A536F" w:rsidP="005A536F">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655E4">
        <w:rPr>
          <w:rFonts w:ascii="Times New Roman" w:eastAsia="Times New Roman" w:hAnsi="Times New Roman" w:cs="Times New Roman"/>
          <w:sz w:val="24"/>
          <w:szCs w:val="24"/>
          <w:lang w:eastAsia="es-AR"/>
        </w:rPr>
        <w:t xml:space="preserve"> Buenos Aires, abril 4 de 2011.</w:t>
      </w:r>
    </w:p>
    <w:p w:rsidR="005A536F" w:rsidRPr="00F655E4" w:rsidRDefault="005A536F" w:rsidP="005A536F">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655E4">
        <w:rPr>
          <w:rFonts w:ascii="Times New Roman" w:eastAsia="Times New Roman" w:hAnsi="Times New Roman" w:cs="Times New Roman"/>
          <w:sz w:val="24"/>
          <w:szCs w:val="24"/>
          <w:lang w:eastAsia="es-AR"/>
        </w:rPr>
        <w:t>Vistos y Considerando:</w:t>
      </w:r>
    </w:p>
    <w:p w:rsidR="005A536F" w:rsidRPr="00F655E4" w:rsidRDefault="005A536F" w:rsidP="005A536F">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655E4">
        <w:rPr>
          <w:rFonts w:ascii="Times New Roman" w:eastAsia="Times New Roman" w:hAnsi="Times New Roman" w:cs="Times New Roman"/>
          <w:sz w:val="24"/>
          <w:szCs w:val="24"/>
          <w:lang w:eastAsia="es-AR"/>
        </w:rPr>
        <w:t>Vienen las actuaciones a conocimiento del Tribunal con motivo del recurso de apelación interpuesto a fs. 185 contra la resolución obrante a fs. 183 en cuanto designa a la heredera instituida en el testamento ológrafo como administradora de la sucesión.</w:t>
      </w:r>
    </w:p>
    <w:p w:rsidR="005A536F" w:rsidRPr="00F655E4" w:rsidRDefault="005A536F" w:rsidP="005A536F">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655E4">
        <w:rPr>
          <w:rFonts w:ascii="Times New Roman" w:eastAsia="Times New Roman" w:hAnsi="Times New Roman" w:cs="Times New Roman"/>
          <w:sz w:val="24"/>
          <w:szCs w:val="24"/>
          <w:lang w:eastAsia="es-AR"/>
        </w:rPr>
        <w:t>El recurso fue fundado en el escrito obrante a fs. 215/217, cuyo traslado fue contestado a fs. 220/223. Los agravios versan sobre la existencia de otro testamento otorgado por acto público del que serían beneficiarios los apelantes, quienes ya han promovido juicio de nulidad respecto del ológrafo, anunciando su contraria que iniciará, a su vez, redargución de falsedad del otorgado por instrumento público.</w:t>
      </w:r>
    </w:p>
    <w:p w:rsidR="005A536F" w:rsidRPr="00F655E4" w:rsidRDefault="005A536F" w:rsidP="005A536F">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655E4">
        <w:rPr>
          <w:rFonts w:ascii="Times New Roman" w:eastAsia="Times New Roman" w:hAnsi="Times New Roman" w:cs="Times New Roman"/>
          <w:sz w:val="24"/>
          <w:szCs w:val="24"/>
          <w:lang w:eastAsia="es-AR"/>
        </w:rPr>
        <w:t>En tales condiciones, existiendo una notoria controversia sobre la validez de ambos testamentos, la existencia de intereses contrapuestos y serias discrepancias entre quienes aspiran a ser reconocidos como únicos sucesores -en virtud de cada uno de ellos- puede derivar en continuados e intensos conflictos que afecten no sólo el normal desenvolvimiento del proceso sino, en definitiva, la buena administración provisional de la sucesión, lo que autoriza a acudir al remedio excepcional de la designación de un tercero ajeno a las partes, tal como lo solicita el recurrente, y lo prevé el art. 709 del Código Procesal.</w:t>
      </w:r>
    </w:p>
    <w:p w:rsidR="005A536F" w:rsidRPr="00F655E4" w:rsidRDefault="005A536F" w:rsidP="005A536F">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655E4">
        <w:rPr>
          <w:rFonts w:ascii="Times New Roman" w:eastAsia="Times New Roman" w:hAnsi="Times New Roman" w:cs="Times New Roman"/>
          <w:sz w:val="24"/>
          <w:szCs w:val="24"/>
          <w:lang w:eastAsia="es-AR"/>
        </w:rPr>
        <w:t>Por ende, corresponde revocar la resolución recurrida; encomendando al magistrado de grado la designación de un administrador provisorio, con costas de Alzada a la vencida (art. 68 del Código Procesal) Lo que así se resuelve.</w:t>
      </w:r>
    </w:p>
    <w:p w:rsidR="005A536F" w:rsidRPr="00F655E4" w:rsidRDefault="005A536F" w:rsidP="005A536F">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655E4">
        <w:rPr>
          <w:rFonts w:ascii="Times New Roman" w:eastAsia="Times New Roman" w:hAnsi="Times New Roman" w:cs="Times New Roman"/>
          <w:sz w:val="24"/>
          <w:szCs w:val="24"/>
          <w:lang w:eastAsia="es-AR"/>
        </w:rPr>
        <w:t xml:space="preserve">Regístrese y devuélvase. — Marta del Rosario </w:t>
      </w:r>
      <w:proofErr w:type="spellStart"/>
      <w:r w:rsidRPr="00F655E4">
        <w:rPr>
          <w:rFonts w:ascii="Times New Roman" w:eastAsia="Times New Roman" w:hAnsi="Times New Roman" w:cs="Times New Roman"/>
          <w:sz w:val="24"/>
          <w:szCs w:val="24"/>
          <w:lang w:eastAsia="es-AR"/>
        </w:rPr>
        <w:t>Mattera</w:t>
      </w:r>
      <w:proofErr w:type="spellEnd"/>
      <w:r w:rsidRPr="00F655E4">
        <w:rPr>
          <w:rFonts w:ascii="Times New Roman" w:eastAsia="Times New Roman" w:hAnsi="Times New Roman" w:cs="Times New Roman"/>
          <w:sz w:val="24"/>
          <w:szCs w:val="24"/>
          <w:lang w:eastAsia="es-AR"/>
        </w:rPr>
        <w:t>. — Zulema Wilde. — Beatriz A. Verón.</w:t>
      </w:r>
    </w:p>
    <w:p w:rsidR="005A536F" w:rsidRDefault="005A536F" w:rsidP="005A536F">
      <w:pPr>
        <w:jc w:val="both"/>
      </w:pPr>
    </w:p>
    <w:p w:rsidR="00467085" w:rsidRDefault="00467085"/>
    <w:sectPr w:rsidR="00467085"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compat>
    <w:compatSetting w:name="compatibilityMode" w:uri="http://schemas.microsoft.com/office/word" w:val="12"/>
  </w:compat>
  <w:rsids>
    <w:rsidRoot w:val="005A536F"/>
    <w:rsid w:val="00467085"/>
    <w:rsid w:val="00513596"/>
    <w:rsid w:val="005A536F"/>
    <w:rsid w:val="00F1528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3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1465</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2</cp:revision>
  <dcterms:created xsi:type="dcterms:W3CDTF">2012-01-23T18:01:00Z</dcterms:created>
  <dcterms:modified xsi:type="dcterms:W3CDTF">2014-04-23T13:09:00Z</dcterms:modified>
</cp:coreProperties>
</file>