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B2" w:rsidRDefault="00E242B2" w:rsidP="00E242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s-AR"/>
        </w:rPr>
      </w:pPr>
      <w:bookmarkStart w:id="0" w:name="_GoBack"/>
      <w:bookmarkEnd w:id="0"/>
      <w:proofErr w:type="spellStart"/>
      <w:r w:rsidRPr="005C0233">
        <w:rPr>
          <w:rFonts w:ascii="Times New Roman" w:eastAsia="Times New Roman" w:hAnsi="Times New Roman" w:cs="Times New Roman"/>
          <w:sz w:val="30"/>
          <w:szCs w:val="30"/>
          <w:lang w:eastAsia="es-AR"/>
        </w:rPr>
        <w:t>CNCiv</w:t>
      </w:r>
      <w:proofErr w:type="spellEnd"/>
      <w:r w:rsidRPr="005C0233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., Sala G, 16/03/2011. - V., A. M. s/sucesión ab </w:t>
      </w:r>
      <w:r w:rsidRPr="005C0233">
        <w:rPr>
          <w:rFonts w:ascii="Times New Roman" w:eastAsia="Times New Roman" w:hAnsi="Times New Roman" w:cs="Times New Roman"/>
          <w:sz w:val="30"/>
          <w:szCs w:val="30"/>
          <w:lang w:eastAsia="es-AR"/>
        </w:rPr>
        <w:softHyphen/>
        <w:t xml:space="preserve">intestato </w:t>
      </w:r>
    </w:p>
    <w:p w:rsidR="00E242B2" w:rsidRDefault="00E242B2" w:rsidP="00E242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s-AR"/>
        </w:rPr>
      </w:pPr>
    </w:p>
    <w:p w:rsidR="00E242B2" w:rsidRPr="005C0233" w:rsidRDefault="00E242B2" w:rsidP="00E242B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s-AR"/>
        </w:rPr>
      </w:pPr>
    </w:p>
    <w:p w:rsidR="00467085" w:rsidRDefault="00E242B2" w:rsidP="00E242B2">
      <w:pPr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5C0233">
        <w:rPr>
          <w:rFonts w:ascii="Verdana" w:eastAsia="Times New Roman" w:hAnsi="Verdana" w:cs="Times New Roman"/>
          <w:b/>
          <w:bCs/>
          <w:sz w:val="24"/>
          <w:szCs w:val="24"/>
          <w:lang w:eastAsia="es-AR"/>
        </w:rPr>
        <w:t>Sucesión:</w:t>
      </w:r>
      <w:r w:rsidRPr="005C0233">
        <w:rPr>
          <w:rFonts w:ascii="Verdana" w:eastAsia="Times New Roman" w:hAnsi="Verdana" w:cs="Times New Roman"/>
          <w:sz w:val="24"/>
          <w:szCs w:val="24"/>
          <w:lang w:eastAsia="es-AR"/>
        </w:rPr>
        <w:br/>
        <w:t>Sucesión de los cónyuges: origen de los bienes; distinción entre bienes propios y gananciales; bien adquirido por uno de los cónyuges durante el concubinato anterior al matrimonio; falta de efectos retroactivos del matrimonio.</w:t>
      </w:r>
    </w:p>
    <w:p w:rsidR="00E242B2" w:rsidRDefault="00E242B2" w:rsidP="00E242B2">
      <w:pPr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</w:p>
    <w:p w:rsidR="00E242B2" w:rsidRPr="005C0233" w:rsidRDefault="00E242B2" w:rsidP="00E242B2">
      <w:pPr>
        <w:spacing w:before="100" w:beforeAutospacing="1" w:after="100" w:afterAutospacing="1" w:line="220" w:lineRule="atLeast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Buenos Aires, marzo 16 de 2011.</w:t>
      </w:r>
    </w:p>
    <w:p w:rsidR="00E242B2" w:rsidRPr="005C0233" w:rsidRDefault="00E242B2" w:rsidP="00E242B2">
      <w:pPr>
        <w:spacing w:before="100" w:beforeAutospacing="1" w:after="100" w:afterAutospacing="1" w:line="40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5C023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val="es-ES_tradnl" w:eastAsia="es-AR"/>
        </w:rPr>
        <w:t xml:space="preserve">Vistos </w:t>
      </w:r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 xml:space="preserve">y </w:t>
      </w:r>
      <w:r w:rsidRPr="005C023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val="es-ES_tradnl" w:eastAsia="es-AR"/>
        </w:rPr>
        <w:t>Considerando:</w:t>
      </w:r>
    </w:p>
    <w:p w:rsidR="00E242B2" w:rsidRPr="005C0233" w:rsidRDefault="00E242B2" w:rsidP="00E242B2">
      <w:pPr>
        <w:spacing w:before="100" w:beforeAutospacing="1" w:after="100" w:afterAutospacing="1" w:line="40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>I. Contra la providencia de fs. 150, mantenida a fs. 154, se alzan los herederos con sustento en el memorial luciente a fs. 151/153.</w:t>
      </w:r>
    </w:p>
    <w:p w:rsidR="00E242B2" w:rsidRPr="005C0233" w:rsidRDefault="00E242B2" w:rsidP="00E242B2">
      <w:pPr>
        <w:spacing w:before="100" w:beforeAutospacing="1" w:after="100" w:afterAutospacing="1" w:line="40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 xml:space="preserve">II. Dado que la muerte de uno de los cónyuges es causa de disolución del régimen patrimonial del matrimonio (art. 1291 del Código Civil) debiendo procederse al inventario y división de los bienes como se dispone para la división de las herencias (art. 1313 del </w:t>
      </w:r>
      <w:proofErr w:type="spellStart"/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>fondal</w:t>
      </w:r>
      <w:proofErr w:type="spellEnd"/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 xml:space="preserve">) empero la concurrencia del cónyuge a la herencia ocasiona una de las excepciones al principio del art. 3547 en cuanto a que en las sucesiones no se atiende al origen de los bienes que la componen, pues es menester distinguir los bienes propios de los gananciales debido a que están sometidos a regímenes distintos; tal cuestión atiende a la devolución de los bienes propios, que deben ser deducidos primero, pues el remanente son los bienes gananciales, toda vez que –durante el matrimonio y vigente la sociedad conyugal– cada </w:t>
      </w:r>
      <w:proofErr w:type="gramStart"/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>cónyuge</w:t>
      </w:r>
      <w:proofErr w:type="gramEnd"/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 xml:space="preserve"> mantiene el dominio de sus bienes propios (art. 1299).</w:t>
      </w:r>
    </w:p>
    <w:p w:rsidR="00E242B2" w:rsidRPr="005C0233" w:rsidRDefault="00E242B2" w:rsidP="00E242B2">
      <w:pPr>
        <w:spacing w:before="100" w:beforeAutospacing="1" w:after="100" w:afterAutospacing="1" w:line="220" w:lineRule="atLeast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Los bienes serán propios o gananciales según lo determina la ley, de allí que en nada influye de voluntad de los cónyuges para alterar la calidad diversa de tales bienes y esta imposibilidad de modificar la división que la ley impone obedece a la finalidad de mantener incólumes los patrimonios de los cónyuges o sus herederos, estando imposibilitados de alterar la imperativa calificación legal, todo lo cual desmerece la postura argüida por los apelantes.</w:t>
      </w:r>
    </w:p>
    <w:p w:rsidR="00E242B2" w:rsidRPr="005C0233" w:rsidRDefault="00E242B2" w:rsidP="00E242B2">
      <w:pPr>
        <w:spacing w:before="100" w:beforeAutospacing="1" w:after="100" w:afterAutospacing="1" w:line="220" w:lineRule="atLeast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En tal sentido, es dable precisar que el establecimiento del régimen de comunidad constituye un efecto legal del matrimonio y se trata de un estatuto legal forzoso que no depende en cuanto a su origen, estructura y dinámica, de la intención de las partes (art. </w:t>
      </w:r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lastRenderedPageBreak/>
        <w:t xml:space="preserve">1261 del Código Civil, </w:t>
      </w:r>
      <w:proofErr w:type="spellStart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Belluscio</w:t>
      </w:r>
      <w:proofErr w:type="spellEnd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, A. en </w:t>
      </w:r>
      <w:proofErr w:type="spellStart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Belluscio-Zannoni</w:t>
      </w:r>
      <w:proofErr w:type="spellEnd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, “Código Civil...”, T. VI, pág. 116 y su cita de </w:t>
      </w:r>
      <w:proofErr w:type="spellStart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Lafaille</w:t>
      </w:r>
      <w:proofErr w:type="spellEnd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, H. en nota 1, Ed. </w:t>
      </w:r>
      <w:proofErr w:type="spellStart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Astrea</w:t>
      </w:r>
      <w:proofErr w:type="spellEnd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), de ahí que el momento de iniciación de la sociedad conyugal no puede estar sujeto a pacto de índole alguna y la conformación de su capital resulta inmutable por expresa disposición legal (Hernández, L. en </w:t>
      </w:r>
      <w:proofErr w:type="spellStart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Bueres-Highton</w:t>
      </w:r>
      <w:proofErr w:type="spellEnd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, “Código Civil...”, T. III-C, pág. 125) cuyas previsiones resultan de orden público (conf. </w:t>
      </w:r>
      <w:proofErr w:type="spellStart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Fassi</w:t>
      </w:r>
      <w:proofErr w:type="spellEnd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, S. - </w:t>
      </w:r>
      <w:proofErr w:type="spellStart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Bossert</w:t>
      </w:r>
      <w:proofErr w:type="spellEnd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, G. en “Sociedad Conyugal”, pág. 233, y sus numerosas citas en nota 3 al pie, Ed. </w:t>
      </w:r>
      <w:proofErr w:type="spellStart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Astrea</w:t>
      </w:r>
      <w:proofErr w:type="spellEnd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).</w:t>
      </w:r>
    </w:p>
    <w:p w:rsidR="00E242B2" w:rsidRPr="005C0233" w:rsidRDefault="00E242B2" w:rsidP="00E242B2">
      <w:pPr>
        <w:spacing w:before="100" w:beforeAutospacing="1" w:after="100" w:afterAutospacing="1" w:line="40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>III. Las consideraciones precedentes dan por tierra con las argumentaciones vertidas por los pretensos agraviados a poco que se advierta que poco importa la previa relación concubinaria que el Sr. R. habría mantenido con la causante y/o los bienes en ella habidos y el postrer matrimonio carece de efectos retroactivos para dar cobertura patrimonial a aquel concubinato, pues la sociedad conyugal se origina en el momento de contraerse matrimonio y es a partir de allí que los bienes revestirán carácter propio o ganancial, en consecuencia, si el inmueble fue adquirido por el Sr. R. E. R. hacia 12 de junio de 1984 (conf. fs. 147 vta.) y el matrimonio con la causante se</w:t>
      </w:r>
      <w:r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 xml:space="preserve"> </w:t>
      </w:r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 xml:space="preserve">celebró con data del 12 de Noviembre de 1990 (conf. fs. 24), forzoso es concluir que el bien no integra la comunidad (conf. </w:t>
      </w:r>
      <w:proofErr w:type="spellStart"/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>Zannoni</w:t>
      </w:r>
      <w:proofErr w:type="spellEnd"/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 xml:space="preserve">, E. en “Derecho de Familia”, T. I, pág. 494) y por imperio de lo dispuesto en el art. 1263 del </w:t>
      </w:r>
      <w:proofErr w:type="spellStart"/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>fondal</w:t>
      </w:r>
      <w:proofErr w:type="spellEnd"/>
      <w:r w:rsidRPr="005C0233">
        <w:rPr>
          <w:rFonts w:ascii="Verdana" w:eastAsia="Times New Roman" w:hAnsi="Verdana" w:cs="Times New Roman"/>
          <w:color w:val="000000"/>
          <w:sz w:val="19"/>
          <w:szCs w:val="19"/>
          <w:lang w:val="es-ES_tradnl" w:eastAsia="es-AR"/>
        </w:rPr>
        <w:t xml:space="preserve"> reviste carácter propio del Sr. R., resultando ajeno al acervo del presente sucesorio.</w:t>
      </w:r>
    </w:p>
    <w:p w:rsidR="00E242B2" w:rsidRPr="005C0233" w:rsidRDefault="00E242B2" w:rsidP="00E242B2">
      <w:pPr>
        <w:spacing w:before="100" w:beforeAutospacing="1" w:after="100" w:afterAutospacing="1" w:line="220" w:lineRule="atLeast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En lo demás, no existiendo dudas ni controversia acerca de la fecha de adquisición del inmueble, ningún rol juega para decidir en la especie la presunción de </w:t>
      </w:r>
      <w:proofErr w:type="spellStart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ganancialidad</w:t>
      </w:r>
      <w:proofErr w:type="spellEnd"/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 contenida en el art. 1271 de la ley sustantiva, máxime cuando mal puede hablarse de tal carácter, cuando ni siquiera había principiado la sociedad conyugal. </w:t>
      </w:r>
    </w:p>
    <w:p w:rsidR="00E242B2" w:rsidRDefault="00E242B2" w:rsidP="00E242B2">
      <w:pPr>
        <w:jc w:val="both"/>
      </w:pPr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En atención a lo expuesto, el Tribunal </w:t>
      </w:r>
      <w:r w:rsidRPr="005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_tradnl" w:eastAsia="es-AR"/>
        </w:rPr>
        <w:t>resuelve</w:t>
      </w:r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: I. Confirmar la providencia de fs. 150, que fuera mantenida a fs. 154. II. Sin costas en la alzada en atención al modo en que se decide y la ausencia de contradicción. III. Devuélvase y se encomienda a la instancia de grado la notificación de la presente a los interesados. – </w:t>
      </w:r>
      <w:r w:rsidRPr="005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_tradnl" w:eastAsia="es-AR"/>
        </w:rPr>
        <w:t xml:space="preserve">Carlos A. Bellucci. – Beatriz </w:t>
      </w:r>
      <w:proofErr w:type="spellStart"/>
      <w:r w:rsidRPr="005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_tradnl" w:eastAsia="es-AR"/>
        </w:rPr>
        <w:t>Areán</w:t>
      </w:r>
      <w:proofErr w:type="spellEnd"/>
      <w:r w:rsidRPr="005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_tradnl" w:eastAsia="es-AR"/>
        </w:rPr>
        <w:t>. – Carlos A. Carranza Casares</w:t>
      </w:r>
      <w:r w:rsidRPr="005C023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AR"/>
        </w:rPr>
        <w:t xml:space="preserve"> </w:t>
      </w:r>
    </w:p>
    <w:sectPr w:rsidR="00E242B2" w:rsidSect="00467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2B2"/>
    <w:rsid w:val="000D6469"/>
    <w:rsid w:val="00467085"/>
    <w:rsid w:val="00B97C4E"/>
    <w:rsid w:val="00E2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mlgonzalez</dc:creator>
  <cp:keywords/>
  <dc:description/>
  <cp:lastModifiedBy>Claudia Chiocconi</cp:lastModifiedBy>
  <cp:revision>2</cp:revision>
  <dcterms:created xsi:type="dcterms:W3CDTF">2012-01-23T17:50:00Z</dcterms:created>
  <dcterms:modified xsi:type="dcterms:W3CDTF">2014-04-23T13:08:00Z</dcterms:modified>
</cp:coreProperties>
</file>