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5A0549">
        <w:rPr>
          <w:rFonts w:ascii="Times New Roman" w:eastAsia="Times New Roman" w:hAnsi="Times New Roman" w:cs="Times New Roman"/>
          <w:sz w:val="24"/>
          <w:szCs w:val="24"/>
          <w:lang w:eastAsia="es-AR"/>
        </w:rPr>
        <w:t>Cámara Nacional de Apelaciones en lo Comercial, sala E</w:t>
      </w:r>
    </w:p>
    <w:p w:rsidR="00C429EB" w:rsidRPr="005A0549" w:rsidRDefault="00C429EB" w:rsidP="00C429EB">
      <w:pPr>
        <w:spacing w:after="0" w:line="240" w:lineRule="auto"/>
        <w:jc w:val="both"/>
        <w:rPr>
          <w:rFonts w:ascii="Times New Roman" w:eastAsia="Times New Roman" w:hAnsi="Times New Roman" w:cs="Times New Roman"/>
          <w:sz w:val="24"/>
          <w:szCs w:val="24"/>
          <w:lang w:eastAsia="es-AR"/>
        </w:rPr>
      </w:pPr>
      <w:proofErr w:type="spellStart"/>
      <w:r w:rsidRPr="005A0549">
        <w:rPr>
          <w:rFonts w:ascii="Times New Roman" w:eastAsia="Times New Roman" w:hAnsi="Times New Roman" w:cs="Times New Roman"/>
          <w:sz w:val="24"/>
          <w:szCs w:val="24"/>
          <w:lang w:eastAsia="es-AR"/>
        </w:rPr>
        <w:t>Lignini</w:t>
      </w:r>
      <w:proofErr w:type="spellEnd"/>
      <w:r w:rsidRPr="005A0549">
        <w:rPr>
          <w:rFonts w:ascii="Times New Roman" w:eastAsia="Times New Roman" w:hAnsi="Times New Roman" w:cs="Times New Roman"/>
          <w:sz w:val="24"/>
          <w:szCs w:val="24"/>
          <w:lang w:eastAsia="es-AR"/>
        </w:rPr>
        <w:t xml:space="preserve">, Juan Martín s/tercería de dominio promovida en: Del Campo, Alba c. </w:t>
      </w:r>
      <w:proofErr w:type="spellStart"/>
      <w:r w:rsidRPr="005A0549">
        <w:rPr>
          <w:rFonts w:ascii="Times New Roman" w:eastAsia="Times New Roman" w:hAnsi="Times New Roman" w:cs="Times New Roman"/>
          <w:sz w:val="24"/>
          <w:szCs w:val="24"/>
          <w:lang w:eastAsia="es-AR"/>
        </w:rPr>
        <w:t>Alvarez</w:t>
      </w:r>
      <w:proofErr w:type="spellEnd"/>
      <w:r w:rsidRPr="005A0549">
        <w:rPr>
          <w:rFonts w:ascii="Times New Roman" w:eastAsia="Times New Roman" w:hAnsi="Times New Roman" w:cs="Times New Roman"/>
          <w:sz w:val="24"/>
          <w:szCs w:val="24"/>
          <w:lang w:eastAsia="es-AR"/>
        </w:rPr>
        <w:t xml:space="preserve"> y otros s/ejecutivo • 21/10/2010  </w:t>
      </w:r>
    </w:p>
    <w:p w:rsidR="00C429EB"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2ª Instancia. — Buenos Aires, octubre 21 de 2010.</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Considerando: 1. Apeló Juan Martín </w:t>
      </w:r>
      <w:proofErr w:type="spellStart"/>
      <w:r w:rsidRPr="005A0549">
        <w:rPr>
          <w:rFonts w:ascii="Times New Roman" w:eastAsia="Times New Roman" w:hAnsi="Times New Roman" w:cs="Times New Roman"/>
          <w:sz w:val="24"/>
          <w:szCs w:val="24"/>
          <w:lang w:eastAsia="es-AR"/>
        </w:rPr>
        <w:t>Lignini</w:t>
      </w:r>
      <w:proofErr w:type="spellEnd"/>
      <w:r w:rsidRPr="005A0549">
        <w:rPr>
          <w:rFonts w:ascii="Times New Roman" w:eastAsia="Times New Roman" w:hAnsi="Times New Roman" w:cs="Times New Roman"/>
          <w:sz w:val="24"/>
          <w:szCs w:val="24"/>
          <w:lang w:eastAsia="es-AR"/>
        </w:rPr>
        <w:t xml:space="preserve"> la resolución de fs. </w:t>
      </w:r>
      <w:proofErr w:type="gramStart"/>
      <w:r w:rsidRPr="005A0549">
        <w:rPr>
          <w:rFonts w:ascii="Times New Roman" w:eastAsia="Times New Roman" w:hAnsi="Times New Roman" w:cs="Times New Roman"/>
          <w:sz w:val="24"/>
          <w:szCs w:val="24"/>
          <w:lang w:eastAsia="es-AR"/>
        </w:rPr>
        <w:t>fs</w:t>
      </w:r>
      <w:proofErr w:type="gramEnd"/>
      <w:r w:rsidRPr="005A0549">
        <w:rPr>
          <w:rFonts w:ascii="Times New Roman" w:eastAsia="Times New Roman" w:hAnsi="Times New Roman" w:cs="Times New Roman"/>
          <w:sz w:val="24"/>
          <w:szCs w:val="24"/>
          <w:lang w:eastAsia="es-AR"/>
        </w:rPr>
        <w:t>. 98/100, que rechazó la tercería de mejor derecho que articuló.</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El recurrente fundó su recurso mediante la pieza obrante a fs. 115/119, la que fue contestada por la parte actora del juicio principal a fs. 121/120. </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2.a) </w:t>
      </w:r>
      <w:proofErr w:type="spellStart"/>
      <w:r w:rsidRPr="005A0549">
        <w:rPr>
          <w:rFonts w:ascii="Times New Roman" w:eastAsia="Times New Roman" w:hAnsi="Times New Roman" w:cs="Times New Roman"/>
          <w:sz w:val="24"/>
          <w:szCs w:val="24"/>
          <w:lang w:eastAsia="es-AR"/>
        </w:rPr>
        <w:t>Liminarmente</w:t>
      </w:r>
      <w:proofErr w:type="spellEnd"/>
      <w:r w:rsidRPr="005A0549">
        <w:rPr>
          <w:rFonts w:ascii="Times New Roman" w:eastAsia="Times New Roman" w:hAnsi="Times New Roman" w:cs="Times New Roman"/>
          <w:sz w:val="24"/>
          <w:szCs w:val="24"/>
          <w:lang w:eastAsia="es-AR"/>
        </w:rPr>
        <w:t>, cuadra señalar que la nulidad de una sentencia sólo procede cuando adolece de vicios o defectos de forma o construcción que la descalifican como acto jurisdiccional; es decir, cuando se ha dictado sin sujeción a los requisitos de tiempo, lugar y forma prescriptos por la ley adjetiva (</w:t>
      </w:r>
      <w:proofErr w:type="spellStart"/>
      <w:r w:rsidRPr="005A0549">
        <w:rPr>
          <w:rFonts w:ascii="Times New Roman" w:eastAsia="Times New Roman" w:hAnsi="Times New Roman" w:cs="Times New Roman"/>
          <w:sz w:val="24"/>
          <w:szCs w:val="24"/>
          <w:lang w:eastAsia="es-AR"/>
        </w:rPr>
        <w:t>CPr</w:t>
      </w:r>
      <w:proofErr w:type="spellEnd"/>
      <w:r w:rsidRPr="005A0549">
        <w:rPr>
          <w:rFonts w:ascii="Times New Roman" w:eastAsia="Times New Roman" w:hAnsi="Times New Roman" w:cs="Times New Roman"/>
          <w:sz w:val="24"/>
          <w:szCs w:val="24"/>
          <w:lang w:eastAsia="es-AR"/>
        </w:rPr>
        <w:t>.: 34, 4 y 163).</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Es improcedente frente a hipótesis como las denunciadas -errores u omisiones-; pues, de existir, pueden ser reparadas por medio del recurso de apelación, en el que el tribunal de alzada puede examinar los hechos y el derecho, con plena jurisdicción (</w:t>
      </w:r>
      <w:proofErr w:type="spellStart"/>
      <w:r w:rsidRPr="005A0549">
        <w:rPr>
          <w:rFonts w:ascii="Times New Roman" w:eastAsia="Times New Roman" w:hAnsi="Times New Roman" w:cs="Times New Roman"/>
          <w:sz w:val="24"/>
          <w:szCs w:val="24"/>
          <w:lang w:eastAsia="es-AR"/>
        </w:rPr>
        <w:t>CPr</w:t>
      </w:r>
      <w:proofErr w:type="spellEnd"/>
      <w:r w:rsidRPr="005A0549">
        <w:rPr>
          <w:rFonts w:ascii="Times New Roman" w:eastAsia="Times New Roman" w:hAnsi="Times New Roman" w:cs="Times New Roman"/>
          <w:sz w:val="24"/>
          <w:szCs w:val="24"/>
          <w:lang w:eastAsia="es-AR"/>
        </w:rPr>
        <w:t>.: 278; v. esta Sala en: "</w:t>
      </w:r>
      <w:proofErr w:type="spellStart"/>
      <w:r w:rsidRPr="005A0549">
        <w:rPr>
          <w:rFonts w:ascii="Times New Roman" w:eastAsia="Times New Roman" w:hAnsi="Times New Roman" w:cs="Times New Roman"/>
          <w:sz w:val="24"/>
          <w:szCs w:val="24"/>
          <w:lang w:eastAsia="es-AR"/>
        </w:rPr>
        <w:t>Maragna</w:t>
      </w:r>
      <w:proofErr w:type="spellEnd"/>
      <w:r w:rsidRPr="005A0549">
        <w:rPr>
          <w:rFonts w:ascii="Times New Roman" w:eastAsia="Times New Roman" w:hAnsi="Times New Roman" w:cs="Times New Roman"/>
          <w:sz w:val="24"/>
          <w:szCs w:val="24"/>
          <w:lang w:eastAsia="es-AR"/>
        </w:rPr>
        <w:t xml:space="preserve">, José Luis y otro", del 11/4/91). </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No procede entonces la nulidad del pronunciamiento; cuando en definitiva, con esa pretensión se apunta a la obtención de una sentencia ajustada a derecho y ese objetivo puede lograrse mediante la consideración de los agravios (</w:t>
      </w:r>
      <w:proofErr w:type="spellStart"/>
      <w:r w:rsidRPr="005A0549">
        <w:rPr>
          <w:rFonts w:ascii="Times New Roman" w:eastAsia="Times New Roman" w:hAnsi="Times New Roman" w:cs="Times New Roman"/>
          <w:sz w:val="24"/>
          <w:szCs w:val="24"/>
          <w:lang w:eastAsia="es-AR"/>
        </w:rPr>
        <w:t>CPr</w:t>
      </w:r>
      <w:proofErr w:type="spellEnd"/>
      <w:r w:rsidRPr="005A0549">
        <w:rPr>
          <w:rFonts w:ascii="Times New Roman" w:eastAsia="Times New Roman" w:hAnsi="Times New Roman" w:cs="Times New Roman"/>
          <w:sz w:val="24"/>
          <w:szCs w:val="24"/>
          <w:lang w:eastAsia="es-AR"/>
        </w:rPr>
        <w:t>.: 253).</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Es que, aun cuando el juez de grado no se hubiera expedido acerca de la admisibilidad o no de las pruebas ofrecidas por el recurrente, lo cierto es que, la cuestión puede resolverse con las solas constancias de autos en tanto puede catalogarse como de puro derecho. </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2.b) Sentado lo anterior, y si bien se admitieren los agravios, vinculados a la efectiva integración del veinticinco por ciento del precio oportunamente convenido en el boleto de compraventa copiado a fs. 23/27, lo cierto es que, este tribunal -bien que con una integración distinta, pero cuyo criterio comparten la mayoría de los vocales que actualmente lo componen- sostuvo que tratándose de un inmueble, la propiedad del bien </w:t>
      </w:r>
      <w:proofErr w:type="gramStart"/>
      <w:r w:rsidRPr="005A0549">
        <w:rPr>
          <w:rFonts w:ascii="Times New Roman" w:eastAsia="Times New Roman" w:hAnsi="Times New Roman" w:cs="Times New Roman"/>
          <w:sz w:val="24"/>
          <w:szCs w:val="24"/>
          <w:lang w:eastAsia="es-AR"/>
        </w:rPr>
        <w:t>embargado</w:t>
      </w:r>
      <w:proofErr w:type="gramEnd"/>
      <w:r w:rsidRPr="005A0549">
        <w:rPr>
          <w:rFonts w:ascii="Times New Roman" w:eastAsia="Times New Roman" w:hAnsi="Times New Roman" w:cs="Times New Roman"/>
          <w:sz w:val="24"/>
          <w:szCs w:val="24"/>
          <w:lang w:eastAsia="es-AR"/>
        </w:rPr>
        <w:t xml:space="preserve"> no podía acreditarse con un boleto de compraventa, aunque mediara posesión e, incluso, condena a escriturar (v. "Martínez, Roberto s/ tercería de dominio en autos: </w:t>
      </w:r>
      <w:proofErr w:type="spellStart"/>
      <w:r w:rsidRPr="005A0549">
        <w:rPr>
          <w:rFonts w:ascii="Times New Roman" w:eastAsia="Times New Roman" w:hAnsi="Times New Roman" w:cs="Times New Roman"/>
          <w:sz w:val="24"/>
          <w:szCs w:val="24"/>
          <w:lang w:eastAsia="es-AR"/>
        </w:rPr>
        <w:t>Veglia</w:t>
      </w:r>
      <w:proofErr w:type="spellEnd"/>
      <w:r w:rsidRPr="005A0549">
        <w:rPr>
          <w:rFonts w:ascii="Times New Roman" w:eastAsia="Times New Roman" w:hAnsi="Times New Roman" w:cs="Times New Roman"/>
          <w:sz w:val="24"/>
          <w:szCs w:val="24"/>
          <w:lang w:eastAsia="es-AR"/>
        </w:rPr>
        <w:t xml:space="preserve"> c. </w:t>
      </w:r>
      <w:proofErr w:type="spellStart"/>
      <w:r w:rsidRPr="005A0549">
        <w:rPr>
          <w:rFonts w:ascii="Times New Roman" w:eastAsia="Times New Roman" w:hAnsi="Times New Roman" w:cs="Times New Roman"/>
          <w:sz w:val="24"/>
          <w:szCs w:val="24"/>
          <w:lang w:eastAsia="es-AR"/>
        </w:rPr>
        <w:t>D"Ippolito</w:t>
      </w:r>
      <w:proofErr w:type="spellEnd"/>
      <w:r w:rsidRPr="005A0549">
        <w:rPr>
          <w:rFonts w:ascii="Times New Roman" w:eastAsia="Times New Roman" w:hAnsi="Times New Roman" w:cs="Times New Roman"/>
          <w:sz w:val="24"/>
          <w:szCs w:val="24"/>
          <w:lang w:eastAsia="es-AR"/>
        </w:rPr>
        <w:t xml:space="preserve"> s/ejecutivo", de 4.3.97).</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Allí se juzgó que, a tenor de los términos del </w:t>
      </w:r>
      <w:proofErr w:type="spellStart"/>
      <w:r w:rsidRPr="005A0549">
        <w:rPr>
          <w:rFonts w:ascii="Times New Roman" w:eastAsia="Times New Roman" w:hAnsi="Times New Roman" w:cs="Times New Roman"/>
          <w:sz w:val="24"/>
          <w:szCs w:val="24"/>
          <w:lang w:eastAsia="es-AR"/>
        </w:rPr>
        <w:t>CCiv</w:t>
      </w:r>
      <w:proofErr w:type="spellEnd"/>
      <w:r w:rsidRPr="005A0549">
        <w:rPr>
          <w:rFonts w:ascii="Times New Roman" w:eastAsia="Times New Roman" w:hAnsi="Times New Roman" w:cs="Times New Roman"/>
          <w:sz w:val="24"/>
          <w:szCs w:val="24"/>
          <w:lang w:eastAsia="es-AR"/>
        </w:rPr>
        <w:t xml:space="preserve">. 1184:1 y 2505, la transmisión del derecho real de dominio exige para su perfeccionamiento y </w:t>
      </w:r>
      <w:proofErr w:type="spellStart"/>
      <w:r w:rsidRPr="005A0549">
        <w:rPr>
          <w:rFonts w:ascii="Times New Roman" w:eastAsia="Times New Roman" w:hAnsi="Times New Roman" w:cs="Times New Roman"/>
          <w:sz w:val="24"/>
          <w:szCs w:val="24"/>
          <w:lang w:eastAsia="es-AR"/>
        </w:rPr>
        <w:t>oponibilidad</w:t>
      </w:r>
      <w:proofErr w:type="spellEnd"/>
      <w:r w:rsidRPr="005A0549">
        <w:rPr>
          <w:rFonts w:ascii="Times New Roman" w:eastAsia="Times New Roman" w:hAnsi="Times New Roman" w:cs="Times New Roman"/>
          <w:sz w:val="24"/>
          <w:szCs w:val="24"/>
          <w:lang w:eastAsia="es-AR"/>
        </w:rPr>
        <w:t xml:space="preserve"> a terceros —en el caso, el acreedor embargante— el otorgamiento de la correspondiente escritura pública y su inscripción en el respectivo registro inmobiliario (v. citas allí practicadas).</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lastRenderedPageBreak/>
        <w:t xml:space="preserve">En caso de compraventa de inmuebles, mientras no se firme la escritura pública y, eventualmente, se la inscriba en el registro de la propiedad inmueble, el único propietario de la cosa para los terceros será el vendedor, aunque se haya hecho tradición de ella al adquirente y aun cuando mediara condena judicial a escriturar: para transferir el dominio se requiere título, modo e inscripción, por lo que la suscripción de un boleto de compraventa no produce la transmisión </w:t>
      </w:r>
      <w:proofErr w:type="spellStart"/>
      <w:r w:rsidRPr="005A0549">
        <w:rPr>
          <w:rFonts w:ascii="Times New Roman" w:eastAsia="Times New Roman" w:hAnsi="Times New Roman" w:cs="Times New Roman"/>
          <w:sz w:val="24"/>
          <w:szCs w:val="24"/>
          <w:lang w:eastAsia="es-AR"/>
        </w:rPr>
        <w:t>dominial</w:t>
      </w:r>
      <w:proofErr w:type="spellEnd"/>
      <w:r w:rsidRPr="005A0549">
        <w:rPr>
          <w:rFonts w:ascii="Times New Roman" w:eastAsia="Times New Roman" w:hAnsi="Times New Roman" w:cs="Times New Roman"/>
          <w:sz w:val="24"/>
          <w:szCs w:val="24"/>
          <w:lang w:eastAsia="es-AR"/>
        </w:rPr>
        <w:t xml:space="preserve"> (cfr. Mariani de Vidal, Marina, "Curso de derechos reales", </w:t>
      </w:r>
      <w:proofErr w:type="spellStart"/>
      <w:r w:rsidRPr="005A0549">
        <w:rPr>
          <w:rFonts w:ascii="Times New Roman" w:eastAsia="Times New Roman" w:hAnsi="Times New Roman" w:cs="Times New Roman"/>
          <w:sz w:val="24"/>
          <w:szCs w:val="24"/>
          <w:lang w:eastAsia="es-AR"/>
        </w:rPr>
        <w:t>Zavalía</w:t>
      </w:r>
      <w:proofErr w:type="spellEnd"/>
      <w:r w:rsidRPr="005A0549">
        <w:rPr>
          <w:rFonts w:ascii="Times New Roman" w:eastAsia="Times New Roman" w:hAnsi="Times New Roman" w:cs="Times New Roman"/>
          <w:sz w:val="24"/>
          <w:szCs w:val="24"/>
          <w:lang w:eastAsia="es-AR"/>
        </w:rPr>
        <w:t xml:space="preserve">, Bs. As., 1997, pág. 139; </w:t>
      </w:r>
      <w:proofErr w:type="spellStart"/>
      <w:r w:rsidRPr="005A0549">
        <w:rPr>
          <w:rFonts w:ascii="Times New Roman" w:eastAsia="Times New Roman" w:hAnsi="Times New Roman" w:cs="Times New Roman"/>
          <w:sz w:val="24"/>
          <w:szCs w:val="24"/>
          <w:lang w:eastAsia="es-AR"/>
        </w:rPr>
        <w:t>CNCom</w:t>
      </w:r>
      <w:proofErr w:type="spellEnd"/>
      <w:r w:rsidRPr="005A0549">
        <w:rPr>
          <w:rFonts w:ascii="Times New Roman" w:eastAsia="Times New Roman" w:hAnsi="Times New Roman" w:cs="Times New Roman"/>
          <w:sz w:val="24"/>
          <w:szCs w:val="24"/>
          <w:lang w:eastAsia="es-AR"/>
        </w:rPr>
        <w:t xml:space="preserve">. Sala B, in re "Guevara de </w:t>
      </w:r>
      <w:proofErr w:type="spellStart"/>
      <w:r w:rsidRPr="005A0549">
        <w:rPr>
          <w:rFonts w:ascii="Times New Roman" w:eastAsia="Times New Roman" w:hAnsi="Times New Roman" w:cs="Times New Roman"/>
          <w:sz w:val="24"/>
          <w:szCs w:val="24"/>
          <w:lang w:eastAsia="es-AR"/>
        </w:rPr>
        <w:t>Miere</w:t>
      </w:r>
      <w:proofErr w:type="spellEnd"/>
      <w:r w:rsidRPr="005A0549">
        <w:rPr>
          <w:rFonts w:ascii="Times New Roman" w:eastAsia="Times New Roman" w:hAnsi="Times New Roman" w:cs="Times New Roman"/>
          <w:sz w:val="24"/>
          <w:szCs w:val="24"/>
          <w:lang w:eastAsia="es-AR"/>
        </w:rPr>
        <w:t xml:space="preserve">, Marta Delia s/tercería de dominio en autos "Vallejo Gustavo c/ </w:t>
      </w:r>
      <w:proofErr w:type="spellStart"/>
      <w:r w:rsidRPr="005A0549">
        <w:rPr>
          <w:rFonts w:ascii="Times New Roman" w:eastAsia="Times New Roman" w:hAnsi="Times New Roman" w:cs="Times New Roman"/>
          <w:sz w:val="24"/>
          <w:szCs w:val="24"/>
          <w:lang w:eastAsia="es-AR"/>
        </w:rPr>
        <w:t>Miret</w:t>
      </w:r>
      <w:proofErr w:type="spellEnd"/>
      <w:r w:rsidRPr="005A0549">
        <w:rPr>
          <w:rFonts w:ascii="Times New Roman" w:eastAsia="Times New Roman" w:hAnsi="Times New Roman" w:cs="Times New Roman"/>
          <w:sz w:val="24"/>
          <w:szCs w:val="24"/>
          <w:lang w:eastAsia="es-AR"/>
        </w:rPr>
        <w:t xml:space="preserve"> José s/ejecutivo", de 30/11/06). </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Dichas consideraciones resultan de aplicación al caso y obstan, por ende, al reconocimiento del mejor derecho invocado por Juan Martín </w:t>
      </w:r>
      <w:proofErr w:type="spellStart"/>
      <w:r w:rsidRPr="005A0549">
        <w:rPr>
          <w:rFonts w:ascii="Times New Roman" w:eastAsia="Times New Roman" w:hAnsi="Times New Roman" w:cs="Times New Roman"/>
          <w:sz w:val="24"/>
          <w:szCs w:val="24"/>
          <w:lang w:eastAsia="es-AR"/>
        </w:rPr>
        <w:t>Lignini</w:t>
      </w:r>
      <w:proofErr w:type="spellEnd"/>
      <w:r w:rsidRPr="005A0549">
        <w:rPr>
          <w:rFonts w:ascii="Times New Roman" w:eastAsia="Times New Roman" w:hAnsi="Times New Roman" w:cs="Times New Roman"/>
          <w:sz w:val="24"/>
          <w:szCs w:val="24"/>
          <w:lang w:eastAsia="es-AR"/>
        </w:rPr>
        <w:t xml:space="preserve"> (v. </w:t>
      </w:r>
      <w:proofErr w:type="spellStart"/>
      <w:r w:rsidRPr="005A0549">
        <w:rPr>
          <w:rFonts w:ascii="Times New Roman" w:eastAsia="Times New Roman" w:hAnsi="Times New Roman" w:cs="Times New Roman"/>
          <w:sz w:val="24"/>
          <w:szCs w:val="24"/>
          <w:lang w:eastAsia="es-AR"/>
        </w:rPr>
        <w:t>CNCom</w:t>
      </w:r>
      <w:proofErr w:type="spellEnd"/>
      <w:r w:rsidRPr="005A0549">
        <w:rPr>
          <w:rFonts w:ascii="Times New Roman" w:eastAsia="Times New Roman" w:hAnsi="Times New Roman" w:cs="Times New Roman"/>
          <w:sz w:val="24"/>
          <w:szCs w:val="24"/>
          <w:lang w:eastAsia="es-AR"/>
        </w:rPr>
        <w:t xml:space="preserve">. Sala E, "Cooperativa de </w:t>
      </w:r>
      <w:proofErr w:type="spellStart"/>
      <w:r w:rsidRPr="005A0549">
        <w:rPr>
          <w:rFonts w:ascii="Times New Roman" w:eastAsia="Times New Roman" w:hAnsi="Times New Roman" w:cs="Times New Roman"/>
          <w:sz w:val="24"/>
          <w:szCs w:val="24"/>
          <w:lang w:eastAsia="es-AR"/>
        </w:rPr>
        <w:t>Viv</w:t>
      </w:r>
      <w:proofErr w:type="spell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Créd</w:t>
      </w:r>
      <w:proofErr w:type="spellEnd"/>
      <w:r w:rsidRPr="005A0549">
        <w:rPr>
          <w:rFonts w:ascii="Times New Roman" w:eastAsia="Times New Roman" w:hAnsi="Times New Roman" w:cs="Times New Roman"/>
          <w:sz w:val="24"/>
          <w:szCs w:val="24"/>
          <w:lang w:eastAsia="es-AR"/>
        </w:rPr>
        <w:t xml:space="preserve">. </w:t>
      </w:r>
      <w:proofErr w:type="gramStart"/>
      <w:r w:rsidRPr="005A0549">
        <w:rPr>
          <w:rFonts w:ascii="Times New Roman" w:eastAsia="Times New Roman" w:hAnsi="Times New Roman" w:cs="Times New Roman"/>
          <w:sz w:val="24"/>
          <w:szCs w:val="24"/>
          <w:lang w:eastAsia="es-AR"/>
        </w:rPr>
        <w:t>y</w:t>
      </w:r>
      <w:proofErr w:type="gram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Cons</w:t>
      </w:r>
      <w:proofErr w:type="spellEnd"/>
      <w:r w:rsidRPr="005A0549">
        <w:rPr>
          <w:rFonts w:ascii="Times New Roman" w:eastAsia="Times New Roman" w:hAnsi="Times New Roman" w:cs="Times New Roman"/>
          <w:sz w:val="24"/>
          <w:szCs w:val="24"/>
          <w:lang w:eastAsia="es-AR"/>
        </w:rPr>
        <w:t xml:space="preserve">. Dinámica Ltda. c/ Cooperativa de </w:t>
      </w:r>
      <w:proofErr w:type="spellStart"/>
      <w:r w:rsidRPr="005A0549">
        <w:rPr>
          <w:rFonts w:ascii="Times New Roman" w:eastAsia="Times New Roman" w:hAnsi="Times New Roman" w:cs="Times New Roman"/>
          <w:sz w:val="24"/>
          <w:szCs w:val="24"/>
          <w:lang w:eastAsia="es-AR"/>
        </w:rPr>
        <w:t>Viv</w:t>
      </w:r>
      <w:proofErr w:type="spell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Créd</w:t>
      </w:r>
      <w:proofErr w:type="spellEnd"/>
      <w:r w:rsidRPr="005A0549">
        <w:rPr>
          <w:rFonts w:ascii="Times New Roman" w:eastAsia="Times New Roman" w:hAnsi="Times New Roman" w:cs="Times New Roman"/>
          <w:sz w:val="24"/>
          <w:szCs w:val="24"/>
          <w:lang w:eastAsia="es-AR"/>
        </w:rPr>
        <w:t xml:space="preserve">. </w:t>
      </w:r>
      <w:proofErr w:type="gramStart"/>
      <w:r w:rsidRPr="005A0549">
        <w:rPr>
          <w:rFonts w:ascii="Times New Roman" w:eastAsia="Times New Roman" w:hAnsi="Times New Roman" w:cs="Times New Roman"/>
          <w:sz w:val="24"/>
          <w:szCs w:val="24"/>
          <w:lang w:eastAsia="es-AR"/>
        </w:rPr>
        <w:t>y</w:t>
      </w:r>
      <w:proofErr w:type="gram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Cons</w:t>
      </w:r>
      <w:proofErr w:type="spell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Lider</w:t>
      </w:r>
      <w:proofErr w:type="spellEnd"/>
      <w:r w:rsidRPr="005A0549">
        <w:rPr>
          <w:rFonts w:ascii="Times New Roman" w:eastAsia="Times New Roman" w:hAnsi="Times New Roman" w:cs="Times New Roman"/>
          <w:sz w:val="24"/>
          <w:szCs w:val="24"/>
          <w:lang w:eastAsia="es-AR"/>
        </w:rPr>
        <w:t xml:space="preserve"> Ltda. </w:t>
      </w:r>
      <w:proofErr w:type="gramStart"/>
      <w:r w:rsidRPr="005A0549">
        <w:rPr>
          <w:rFonts w:ascii="Times New Roman" w:eastAsia="Times New Roman" w:hAnsi="Times New Roman" w:cs="Times New Roman"/>
          <w:sz w:val="24"/>
          <w:szCs w:val="24"/>
          <w:lang w:eastAsia="es-AR"/>
        </w:rPr>
        <w:t>y</w:t>
      </w:r>
      <w:proofErr w:type="gramEnd"/>
      <w:r w:rsidRPr="005A0549">
        <w:rPr>
          <w:rFonts w:ascii="Times New Roman" w:eastAsia="Times New Roman" w:hAnsi="Times New Roman" w:cs="Times New Roman"/>
          <w:sz w:val="24"/>
          <w:szCs w:val="24"/>
          <w:lang w:eastAsia="es-AR"/>
        </w:rPr>
        <w:t xml:space="preserve"> otros s/ejecutivo", de 14.3.08; íd. Sala B, "América Latina Logística Mesopotámica SA s/tercería (en autos: Natal Rubén c/ González Ernesto s/</w:t>
      </w:r>
      <w:proofErr w:type="spellStart"/>
      <w:r w:rsidRPr="005A0549">
        <w:rPr>
          <w:rFonts w:ascii="Times New Roman" w:eastAsia="Times New Roman" w:hAnsi="Times New Roman" w:cs="Times New Roman"/>
          <w:sz w:val="24"/>
          <w:szCs w:val="24"/>
          <w:lang w:eastAsia="es-AR"/>
        </w:rPr>
        <w:t>ejec</w:t>
      </w:r>
      <w:proofErr w:type="spellEnd"/>
      <w:r w:rsidRPr="005A0549">
        <w:rPr>
          <w:rFonts w:ascii="Times New Roman" w:eastAsia="Times New Roman" w:hAnsi="Times New Roman" w:cs="Times New Roman"/>
          <w:sz w:val="24"/>
          <w:szCs w:val="24"/>
          <w:lang w:eastAsia="es-AR"/>
        </w:rPr>
        <w:t>.)", de 26.8.08).</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Entonces, el boleto de compraventa copiado a fs. 23/27, la posesión y aunque se admitiera que el recurrente cumplió con la total integración del precio en los términos pactados, resultan inidóneos para sustentar el pedido de levantamiento de embargo, siendo también insuficiente la buena fe del peticionario frente al principio contemplado por el art. 2505 citado.</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Por otro lado, y teniendo en consideración que el recurrente fundó su derecho sustancialmente en la disposición del </w:t>
      </w:r>
      <w:proofErr w:type="spellStart"/>
      <w:r w:rsidRPr="005A0549">
        <w:rPr>
          <w:rFonts w:ascii="Times New Roman" w:eastAsia="Times New Roman" w:hAnsi="Times New Roman" w:cs="Times New Roman"/>
          <w:sz w:val="24"/>
          <w:szCs w:val="24"/>
          <w:lang w:eastAsia="es-AR"/>
        </w:rPr>
        <w:t>CCiv</w:t>
      </w:r>
      <w:proofErr w:type="spellEnd"/>
      <w:r w:rsidRPr="005A0549">
        <w:rPr>
          <w:rFonts w:ascii="Times New Roman" w:eastAsia="Times New Roman" w:hAnsi="Times New Roman" w:cs="Times New Roman"/>
          <w:sz w:val="24"/>
          <w:szCs w:val="24"/>
          <w:lang w:eastAsia="es-AR"/>
        </w:rPr>
        <w:t xml:space="preserve">. 1185 bis, cabe también referir que esa norma no resulta de aplicación fuera del ámbito de un proceso concursal (cfr. </w:t>
      </w:r>
      <w:proofErr w:type="spellStart"/>
      <w:r w:rsidRPr="005A0549">
        <w:rPr>
          <w:rFonts w:ascii="Times New Roman" w:eastAsia="Times New Roman" w:hAnsi="Times New Roman" w:cs="Times New Roman"/>
          <w:sz w:val="24"/>
          <w:szCs w:val="24"/>
          <w:lang w:eastAsia="es-AR"/>
        </w:rPr>
        <w:t>CNCom</w:t>
      </w:r>
      <w:proofErr w:type="spellEnd"/>
      <w:r w:rsidRPr="005A0549">
        <w:rPr>
          <w:rFonts w:ascii="Times New Roman" w:eastAsia="Times New Roman" w:hAnsi="Times New Roman" w:cs="Times New Roman"/>
          <w:sz w:val="24"/>
          <w:szCs w:val="24"/>
          <w:lang w:eastAsia="es-AR"/>
        </w:rPr>
        <w:t xml:space="preserve">. Sala E, "Ruiz Moreno, Ernesto s/tercería en autos: </w:t>
      </w:r>
      <w:proofErr w:type="spellStart"/>
      <w:r w:rsidRPr="005A0549">
        <w:rPr>
          <w:rFonts w:ascii="Times New Roman" w:eastAsia="Times New Roman" w:hAnsi="Times New Roman" w:cs="Times New Roman"/>
          <w:sz w:val="24"/>
          <w:szCs w:val="24"/>
          <w:lang w:eastAsia="es-AR"/>
        </w:rPr>
        <w:t>Diners</w:t>
      </w:r>
      <w:proofErr w:type="spellEnd"/>
      <w:r w:rsidRPr="005A0549">
        <w:rPr>
          <w:rFonts w:ascii="Times New Roman" w:eastAsia="Times New Roman" w:hAnsi="Times New Roman" w:cs="Times New Roman"/>
          <w:sz w:val="24"/>
          <w:szCs w:val="24"/>
          <w:lang w:eastAsia="es-AR"/>
        </w:rPr>
        <w:t xml:space="preserve"> Club Argentina c/ </w:t>
      </w:r>
      <w:proofErr w:type="spellStart"/>
      <w:r w:rsidRPr="005A0549">
        <w:rPr>
          <w:rFonts w:ascii="Times New Roman" w:eastAsia="Times New Roman" w:hAnsi="Times New Roman" w:cs="Times New Roman"/>
          <w:sz w:val="24"/>
          <w:szCs w:val="24"/>
          <w:lang w:eastAsia="es-AR"/>
        </w:rPr>
        <w:t>Coccio</w:t>
      </w:r>
      <w:proofErr w:type="spellEnd"/>
      <w:r w:rsidRPr="005A0549">
        <w:rPr>
          <w:rFonts w:ascii="Times New Roman" w:eastAsia="Times New Roman" w:hAnsi="Times New Roman" w:cs="Times New Roman"/>
          <w:sz w:val="24"/>
          <w:szCs w:val="24"/>
          <w:lang w:eastAsia="es-AR"/>
        </w:rPr>
        <w:t>, Raúl Alberto y otros s/sumario", de 3.7.97; íd. Sala B, "</w:t>
      </w:r>
      <w:proofErr w:type="spellStart"/>
      <w:r w:rsidRPr="005A0549">
        <w:rPr>
          <w:rFonts w:ascii="Times New Roman" w:eastAsia="Times New Roman" w:hAnsi="Times New Roman" w:cs="Times New Roman"/>
          <w:sz w:val="24"/>
          <w:szCs w:val="24"/>
          <w:lang w:eastAsia="es-AR"/>
        </w:rPr>
        <w:t>Maggio</w:t>
      </w:r>
      <w:proofErr w:type="spellEnd"/>
      <w:r w:rsidRPr="005A0549">
        <w:rPr>
          <w:rFonts w:ascii="Times New Roman" w:eastAsia="Times New Roman" w:hAnsi="Times New Roman" w:cs="Times New Roman"/>
          <w:sz w:val="24"/>
          <w:szCs w:val="24"/>
          <w:lang w:eastAsia="es-AR"/>
        </w:rPr>
        <w:t xml:space="preserve"> Lucas Ariel c/Cardoso Juan Pedro s/ejecutivo s/tercería de mejor derecho promovida por Cuervo Ariel Hugo", de 22.5.09).</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En efecto, la preferencia fundada en el </w:t>
      </w:r>
      <w:proofErr w:type="spellStart"/>
      <w:r w:rsidRPr="005A0549">
        <w:rPr>
          <w:rFonts w:ascii="Times New Roman" w:eastAsia="Times New Roman" w:hAnsi="Times New Roman" w:cs="Times New Roman"/>
          <w:sz w:val="24"/>
          <w:szCs w:val="24"/>
          <w:lang w:eastAsia="es-AR"/>
        </w:rPr>
        <w:t>CCiv</w:t>
      </w:r>
      <w:proofErr w:type="spellEnd"/>
      <w:r w:rsidRPr="005A0549">
        <w:rPr>
          <w:rFonts w:ascii="Times New Roman" w:eastAsia="Times New Roman" w:hAnsi="Times New Roman" w:cs="Times New Roman"/>
          <w:sz w:val="24"/>
          <w:szCs w:val="24"/>
          <w:lang w:eastAsia="es-AR"/>
        </w:rPr>
        <w:t xml:space="preserve">. 1185 bis para supuestos concursales es un régimen de excepción, en el que operan los principios de oficiosidad, universalidad, colectividad e igualdad y juega la par </w:t>
      </w:r>
      <w:proofErr w:type="spellStart"/>
      <w:r w:rsidRPr="005A0549">
        <w:rPr>
          <w:rFonts w:ascii="Times New Roman" w:eastAsia="Times New Roman" w:hAnsi="Times New Roman" w:cs="Times New Roman"/>
          <w:sz w:val="24"/>
          <w:szCs w:val="24"/>
          <w:lang w:eastAsia="es-AR"/>
        </w:rPr>
        <w:t>condictio</w:t>
      </w:r>
      <w:proofErr w:type="spell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creditorum</w:t>
      </w:r>
      <w:proofErr w:type="spellEnd"/>
      <w:r w:rsidRPr="005A0549">
        <w:rPr>
          <w:rFonts w:ascii="Times New Roman" w:eastAsia="Times New Roman" w:hAnsi="Times New Roman" w:cs="Times New Roman"/>
          <w:sz w:val="24"/>
          <w:szCs w:val="24"/>
          <w:lang w:eastAsia="es-AR"/>
        </w:rPr>
        <w:t>, por lo que no puede aplicarse analógicamente a un conflicto individual, en el que las preferencias se generan por la adquisición del derecho conforme al prior in tempore prior in iure.</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Además, la aplicación de tal principio se contrapone con otros que regulan los derechos individuales, como es el </w:t>
      </w:r>
      <w:proofErr w:type="spellStart"/>
      <w:r w:rsidRPr="005A0549">
        <w:rPr>
          <w:rFonts w:ascii="Times New Roman" w:eastAsia="Times New Roman" w:hAnsi="Times New Roman" w:cs="Times New Roman"/>
          <w:sz w:val="24"/>
          <w:szCs w:val="24"/>
          <w:lang w:eastAsia="es-AR"/>
        </w:rPr>
        <w:t>Cciv</w:t>
      </w:r>
      <w:proofErr w:type="spellEnd"/>
      <w:r w:rsidRPr="005A0549">
        <w:rPr>
          <w:rFonts w:ascii="Times New Roman" w:eastAsia="Times New Roman" w:hAnsi="Times New Roman" w:cs="Times New Roman"/>
          <w:sz w:val="24"/>
          <w:szCs w:val="24"/>
          <w:lang w:eastAsia="es-AR"/>
        </w:rPr>
        <w:t>. 2505, que somete la adquisición o transmisión de derechos reales sobre inmuebles a la inscripción en los registros individuales.</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Es decir, el adquirente que tiene la posesión y ha abonado la totalidad del precio, no es titular de un mejor derecho que el acreedor embargante. La inscripción registral —al margen de su carácter constitutivo— del derecho genera efectos erga omnes que no pueden ser desconocidos a partir de ella. Adoptar una postura contraria implicaría alterar la estructura jurídica sobre la transmisión de dominio (</w:t>
      </w:r>
      <w:proofErr w:type="spellStart"/>
      <w:r w:rsidRPr="005A0549">
        <w:rPr>
          <w:rFonts w:ascii="Times New Roman" w:eastAsia="Times New Roman" w:hAnsi="Times New Roman" w:cs="Times New Roman"/>
          <w:sz w:val="24"/>
          <w:szCs w:val="24"/>
          <w:lang w:eastAsia="es-AR"/>
        </w:rPr>
        <w:t>arg</w:t>
      </w:r>
      <w:proofErr w:type="spellEnd"/>
      <w:r w:rsidRPr="005A0549">
        <w:rPr>
          <w:rFonts w:ascii="Times New Roman" w:eastAsia="Times New Roman" w:hAnsi="Times New Roman" w:cs="Times New Roman"/>
          <w:sz w:val="24"/>
          <w:szCs w:val="24"/>
          <w:lang w:eastAsia="es-AR"/>
        </w:rPr>
        <w:t xml:space="preserve">. arts. 577, 1184 inc. 1º, 1105, 2505, 2524, 2601, 2602, 2603 Y 2609 cciv). Repárese que el art. 2505 </w:t>
      </w:r>
      <w:proofErr w:type="spellStart"/>
      <w:r w:rsidRPr="005A0549">
        <w:rPr>
          <w:rFonts w:ascii="Times New Roman" w:eastAsia="Times New Roman" w:hAnsi="Times New Roman" w:cs="Times New Roman"/>
          <w:sz w:val="24"/>
          <w:szCs w:val="24"/>
          <w:lang w:eastAsia="es-AR"/>
        </w:rPr>
        <w:t>CCiv</w:t>
      </w:r>
      <w:proofErr w:type="spellEnd"/>
      <w:r w:rsidRPr="005A0549">
        <w:rPr>
          <w:rFonts w:ascii="Times New Roman" w:eastAsia="Times New Roman" w:hAnsi="Times New Roman" w:cs="Times New Roman"/>
          <w:sz w:val="24"/>
          <w:szCs w:val="24"/>
          <w:lang w:eastAsia="es-AR"/>
        </w:rPr>
        <w:t xml:space="preserve">. </w:t>
      </w:r>
      <w:proofErr w:type="gramStart"/>
      <w:r w:rsidRPr="005A0549">
        <w:rPr>
          <w:rFonts w:ascii="Times New Roman" w:eastAsia="Times New Roman" w:hAnsi="Times New Roman" w:cs="Times New Roman"/>
          <w:sz w:val="24"/>
          <w:szCs w:val="24"/>
          <w:lang w:eastAsia="es-AR"/>
        </w:rPr>
        <w:t>establece</w:t>
      </w:r>
      <w:proofErr w:type="gramEnd"/>
      <w:r w:rsidRPr="005A0549">
        <w:rPr>
          <w:rFonts w:ascii="Times New Roman" w:eastAsia="Times New Roman" w:hAnsi="Times New Roman" w:cs="Times New Roman"/>
          <w:sz w:val="24"/>
          <w:szCs w:val="24"/>
          <w:lang w:eastAsia="es-AR"/>
        </w:rPr>
        <w:t xml:space="preserve"> la </w:t>
      </w:r>
      <w:proofErr w:type="spellStart"/>
      <w:r w:rsidRPr="005A0549">
        <w:rPr>
          <w:rFonts w:ascii="Times New Roman" w:eastAsia="Times New Roman" w:hAnsi="Times New Roman" w:cs="Times New Roman"/>
          <w:sz w:val="24"/>
          <w:szCs w:val="24"/>
          <w:lang w:eastAsia="es-AR"/>
        </w:rPr>
        <w:t>inoponibilidad</w:t>
      </w:r>
      <w:proofErr w:type="spellEnd"/>
      <w:r w:rsidRPr="005A0549">
        <w:rPr>
          <w:rFonts w:ascii="Times New Roman" w:eastAsia="Times New Roman" w:hAnsi="Times New Roman" w:cs="Times New Roman"/>
          <w:sz w:val="24"/>
          <w:szCs w:val="24"/>
          <w:lang w:eastAsia="es-AR"/>
        </w:rPr>
        <w:t xml:space="preserve"> del título de adquisición o transmisión de derechos reales respecto de terceros interesados, o al menos respecto de terceros registrales, cuando este título no ha </w:t>
      </w:r>
      <w:r w:rsidRPr="005A0549">
        <w:rPr>
          <w:rFonts w:ascii="Times New Roman" w:eastAsia="Times New Roman" w:hAnsi="Times New Roman" w:cs="Times New Roman"/>
          <w:sz w:val="24"/>
          <w:szCs w:val="24"/>
          <w:lang w:eastAsia="es-AR"/>
        </w:rPr>
        <w:lastRenderedPageBreak/>
        <w:t xml:space="preserve">sido registrado (complementan esta norma los arts. 2 y 22 de la ley 17.801; v. </w:t>
      </w:r>
      <w:proofErr w:type="spellStart"/>
      <w:r w:rsidRPr="005A0549">
        <w:rPr>
          <w:rFonts w:ascii="Times New Roman" w:eastAsia="Times New Roman" w:hAnsi="Times New Roman" w:cs="Times New Roman"/>
          <w:sz w:val="24"/>
          <w:szCs w:val="24"/>
          <w:lang w:eastAsia="es-AR"/>
        </w:rPr>
        <w:t>CNCom</w:t>
      </w:r>
      <w:proofErr w:type="spellEnd"/>
      <w:r w:rsidRPr="005A0549">
        <w:rPr>
          <w:rFonts w:ascii="Times New Roman" w:eastAsia="Times New Roman" w:hAnsi="Times New Roman" w:cs="Times New Roman"/>
          <w:sz w:val="24"/>
          <w:szCs w:val="24"/>
          <w:lang w:eastAsia="es-AR"/>
        </w:rPr>
        <w:t>., Sala B, en "</w:t>
      </w:r>
      <w:proofErr w:type="spellStart"/>
      <w:r w:rsidRPr="005A0549">
        <w:rPr>
          <w:rFonts w:ascii="Times New Roman" w:eastAsia="Times New Roman" w:hAnsi="Times New Roman" w:cs="Times New Roman"/>
          <w:sz w:val="24"/>
          <w:szCs w:val="24"/>
          <w:lang w:eastAsia="es-AR"/>
        </w:rPr>
        <w:t>Maggio</w:t>
      </w:r>
      <w:proofErr w:type="spellEnd"/>
      <w:r w:rsidRPr="005A0549">
        <w:rPr>
          <w:rFonts w:ascii="Times New Roman" w:eastAsia="Times New Roman" w:hAnsi="Times New Roman" w:cs="Times New Roman"/>
          <w:sz w:val="24"/>
          <w:szCs w:val="24"/>
          <w:lang w:eastAsia="es-AR"/>
        </w:rPr>
        <w:t xml:space="preserve"> Lucas Ariel c/Cardoso Juan Pedro s/</w:t>
      </w:r>
      <w:proofErr w:type="spellStart"/>
      <w:r w:rsidRPr="005A0549">
        <w:rPr>
          <w:rFonts w:ascii="Times New Roman" w:eastAsia="Times New Roman" w:hAnsi="Times New Roman" w:cs="Times New Roman"/>
          <w:sz w:val="24"/>
          <w:szCs w:val="24"/>
          <w:lang w:eastAsia="es-AR"/>
        </w:rPr>
        <w:t>ejec</w:t>
      </w:r>
      <w:proofErr w:type="spellEnd"/>
      <w:r w:rsidRPr="005A0549">
        <w:rPr>
          <w:rFonts w:ascii="Times New Roman" w:eastAsia="Times New Roman" w:hAnsi="Times New Roman" w:cs="Times New Roman"/>
          <w:sz w:val="24"/>
          <w:szCs w:val="24"/>
          <w:lang w:eastAsia="es-AR"/>
        </w:rPr>
        <w:t>. s/tercería de mejor derecho promovido por Cuervo Ariel Hugo", de 22/05/09).</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Lo expuesto es suficiente para rechazar los agravios. </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3. Por ello, se resuelve: rechazar la pretensión recursiva y en consecuencia confirmar la resolución atacada con los alcances señalados; con costas de ambas instancias en el orden causado atento las particularidades de la cuestión y habida cuenta de tratarse de una materia en la cual tanto la jurisprudencia como la doctrina han asignado soluciones no siempre uniformes (</w:t>
      </w:r>
      <w:proofErr w:type="spellStart"/>
      <w:r w:rsidRPr="005A0549">
        <w:rPr>
          <w:rFonts w:ascii="Times New Roman" w:eastAsia="Times New Roman" w:hAnsi="Times New Roman" w:cs="Times New Roman"/>
          <w:sz w:val="24"/>
          <w:szCs w:val="24"/>
          <w:lang w:eastAsia="es-AR"/>
        </w:rPr>
        <w:t>Cpr</w:t>
      </w:r>
      <w:proofErr w:type="spellEnd"/>
      <w:r w:rsidRPr="005A0549">
        <w:rPr>
          <w:rFonts w:ascii="Times New Roman" w:eastAsia="Times New Roman" w:hAnsi="Times New Roman" w:cs="Times New Roman"/>
          <w:sz w:val="24"/>
          <w:szCs w:val="24"/>
          <w:lang w:eastAsia="es-AR"/>
        </w:rPr>
        <w:t>. 69).</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Devuélvase sin más trámite, encomendándose al juez de la primera instancia proveer las diligencias ulteriores (</w:t>
      </w:r>
      <w:proofErr w:type="spellStart"/>
      <w:r w:rsidRPr="005A0549">
        <w:rPr>
          <w:rFonts w:ascii="Times New Roman" w:eastAsia="Times New Roman" w:hAnsi="Times New Roman" w:cs="Times New Roman"/>
          <w:sz w:val="24"/>
          <w:szCs w:val="24"/>
          <w:lang w:eastAsia="es-AR"/>
        </w:rPr>
        <w:t>Cpr</w:t>
      </w:r>
      <w:proofErr w:type="spellEnd"/>
      <w:r w:rsidRPr="005A0549">
        <w:rPr>
          <w:rFonts w:ascii="Times New Roman" w:eastAsia="Times New Roman" w:hAnsi="Times New Roman" w:cs="Times New Roman"/>
          <w:sz w:val="24"/>
          <w:szCs w:val="24"/>
          <w:lang w:eastAsia="es-AR"/>
        </w:rPr>
        <w:t xml:space="preserve">. 36:1) y las notificaciones pertinentes. — Miguel F. </w:t>
      </w:r>
      <w:proofErr w:type="spellStart"/>
      <w:r w:rsidRPr="005A0549">
        <w:rPr>
          <w:rFonts w:ascii="Times New Roman" w:eastAsia="Times New Roman" w:hAnsi="Times New Roman" w:cs="Times New Roman"/>
          <w:sz w:val="24"/>
          <w:szCs w:val="24"/>
          <w:lang w:eastAsia="es-AR"/>
        </w:rPr>
        <w:t>Bargalló</w:t>
      </w:r>
      <w:proofErr w:type="spellEnd"/>
      <w:r w:rsidRPr="005A0549">
        <w:rPr>
          <w:rFonts w:ascii="Times New Roman" w:eastAsia="Times New Roman" w:hAnsi="Times New Roman" w:cs="Times New Roman"/>
          <w:sz w:val="24"/>
          <w:szCs w:val="24"/>
          <w:lang w:eastAsia="es-AR"/>
        </w:rPr>
        <w:t xml:space="preserve">. — </w:t>
      </w:r>
      <w:proofErr w:type="spellStart"/>
      <w:r w:rsidRPr="005A0549">
        <w:rPr>
          <w:rFonts w:ascii="Times New Roman" w:eastAsia="Times New Roman" w:hAnsi="Times New Roman" w:cs="Times New Roman"/>
          <w:sz w:val="24"/>
          <w:szCs w:val="24"/>
          <w:lang w:eastAsia="es-AR"/>
        </w:rPr>
        <w:t>Angel</w:t>
      </w:r>
      <w:proofErr w:type="spellEnd"/>
      <w:r w:rsidRPr="005A0549">
        <w:rPr>
          <w:rFonts w:ascii="Times New Roman" w:eastAsia="Times New Roman" w:hAnsi="Times New Roman" w:cs="Times New Roman"/>
          <w:sz w:val="24"/>
          <w:szCs w:val="24"/>
          <w:lang w:eastAsia="es-AR"/>
        </w:rPr>
        <w:t xml:space="preserve"> O. Sala</w:t>
      </w:r>
      <w:proofErr w:type="gramStart"/>
      <w:r w:rsidRPr="005A0549">
        <w:rPr>
          <w:rFonts w:ascii="Times New Roman" w:eastAsia="Times New Roman" w:hAnsi="Times New Roman" w:cs="Times New Roman"/>
          <w:sz w:val="24"/>
          <w:szCs w:val="24"/>
          <w:lang w:eastAsia="es-AR"/>
        </w:rPr>
        <w:t>.—</w:t>
      </w:r>
      <w:proofErr w:type="gram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Bindo</w:t>
      </w:r>
      <w:proofErr w:type="spellEnd"/>
      <w:r w:rsidRPr="005A0549">
        <w:rPr>
          <w:rFonts w:ascii="Times New Roman" w:eastAsia="Times New Roman" w:hAnsi="Times New Roman" w:cs="Times New Roman"/>
          <w:sz w:val="24"/>
          <w:szCs w:val="24"/>
          <w:lang w:eastAsia="es-AR"/>
        </w:rPr>
        <w:t xml:space="preserve"> B. </w:t>
      </w:r>
      <w:proofErr w:type="spellStart"/>
      <w:r w:rsidRPr="005A0549">
        <w:rPr>
          <w:rFonts w:ascii="Times New Roman" w:eastAsia="Times New Roman" w:hAnsi="Times New Roman" w:cs="Times New Roman"/>
          <w:sz w:val="24"/>
          <w:szCs w:val="24"/>
          <w:lang w:eastAsia="es-AR"/>
        </w:rPr>
        <w:t>Caviglione</w:t>
      </w:r>
      <w:proofErr w:type="spellEnd"/>
      <w:r w:rsidRPr="005A0549">
        <w:rPr>
          <w:rFonts w:ascii="Times New Roman" w:eastAsia="Times New Roman" w:hAnsi="Times New Roman" w:cs="Times New Roman"/>
          <w:sz w:val="24"/>
          <w:szCs w:val="24"/>
          <w:lang w:eastAsia="es-AR"/>
        </w:rPr>
        <w:t xml:space="preserve"> Fraga (en disidencia).</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Disidencia del doctor </w:t>
      </w:r>
      <w:proofErr w:type="spellStart"/>
      <w:r w:rsidRPr="005A0549">
        <w:rPr>
          <w:rFonts w:ascii="Times New Roman" w:eastAsia="Times New Roman" w:hAnsi="Times New Roman" w:cs="Times New Roman"/>
          <w:sz w:val="24"/>
          <w:szCs w:val="24"/>
          <w:lang w:eastAsia="es-AR"/>
        </w:rPr>
        <w:t>Caviglione</w:t>
      </w:r>
      <w:proofErr w:type="spellEnd"/>
      <w:r w:rsidRPr="005A0549">
        <w:rPr>
          <w:rFonts w:ascii="Times New Roman" w:eastAsia="Times New Roman" w:hAnsi="Times New Roman" w:cs="Times New Roman"/>
          <w:sz w:val="24"/>
          <w:szCs w:val="24"/>
          <w:lang w:eastAsia="es-AR"/>
        </w:rPr>
        <w:t xml:space="preserve"> Fraga:</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Discrepo con el criterio expuesto por mis distinguidos colegas de sala.</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xml:space="preserve">En efecto, no se encuentra controvertido que el tercerista adquirió de buena fe los "derechos" sobre el inmueble embargado mediante la firma de un boleto de compraventa —con firmas certificadas por escribano público—, el cual es de fecha anterior al embargo. En ese marco y siendo que la propiedad se encuentra ocupada con destino a vivienda, no se advierten obstáculos en cuanto a la aplicabilidad al caso del art. 1185 bis aludido. En efecto, la situación que se ha presentado en el sub lite puede considerarse implícitamente incluida en dicha norma, o, en todo caso, guarda sustancial analogía con el presupuesto de hecho que ella prevé (cfr. </w:t>
      </w:r>
      <w:proofErr w:type="spellStart"/>
      <w:r w:rsidRPr="005A0549">
        <w:rPr>
          <w:rFonts w:ascii="Times New Roman" w:eastAsia="Times New Roman" w:hAnsi="Times New Roman" w:cs="Times New Roman"/>
          <w:sz w:val="24"/>
          <w:szCs w:val="24"/>
          <w:lang w:eastAsia="es-AR"/>
        </w:rPr>
        <w:t>CCiv</w:t>
      </w:r>
      <w:proofErr w:type="spellEnd"/>
      <w:r w:rsidRPr="005A0549">
        <w:rPr>
          <w:rFonts w:ascii="Times New Roman" w:eastAsia="Times New Roman" w:hAnsi="Times New Roman" w:cs="Times New Roman"/>
          <w:sz w:val="24"/>
          <w:szCs w:val="24"/>
          <w:lang w:eastAsia="es-AR"/>
        </w:rPr>
        <w:t>. 16); la sola circunstancia de tratarse aquí de un acreedor singular no justifica un abandono de los principios éticos que inspiraron la sanción de aquel precepto, cuya preeminencia en el caso aparece con palmaria evidencia, en pos del mismo criterio tuitivo que gobierna esta materia (</w:t>
      </w:r>
      <w:proofErr w:type="spellStart"/>
      <w:r w:rsidRPr="005A0549">
        <w:rPr>
          <w:rFonts w:ascii="Times New Roman" w:eastAsia="Times New Roman" w:hAnsi="Times New Roman" w:cs="Times New Roman"/>
          <w:sz w:val="24"/>
          <w:szCs w:val="24"/>
          <w:lang w:eastAsia="es-AR"/>
        </w:rPr>
        <w:t>CNCom</w:t>
      </w:r>
      <w:proofErr w:type="spellEnd"/>
      <w:r w:rsidRPr="005A0549">
        <w:rPr>
          <w:rFonts w:ascii="Times New Roman" w:eastAsia="Times New Roman" w:hAnsi="Times New Roman" w:cs="Times New Roman"/>
          <w:sz w:val="24"/>
          <w:szCs w:val="24"/>
          <w:lang w:eastAsia="es-AR"/>
        </w:rPr>
        <w:t>. Sala C, "</w:t>
      </w:r>
      <w:proofErr w:type="spellStart"/>
      <w:r w:rsidRPr="005A0549">
        <w:rPr>
          <w:rFonts w:ascii="Times New Roman" w:eastAsia="Times New Roman" w:hAnsi="Times New Roman" w:cs="Times New Roman"/>
          <w:sz w:val="24"/>
          <w:szCs w:val="24"/>
          <w:lang w:eastAsia="es-AR"/>
        </w:rPr>
        <w:t>Saiegh</w:t>
      </w:r>
      <w:proofErr w:type="spellEnd"/>
      <w:r w:rsidRPr="005A0549">
        <w:rPr>
          <w:rFonts w:ascii="Times New Roman" w:eastAsia="Times New Roman" w:hAnsi="Times New Roman" w:cs="Times New Roman"/>
          <w:sz w:val="24"/>
          <w:szCs w:val="24"/>
          <w:lang w:eastAsia="es-AR"/>
        </w:rPr>
        <w:t xml:space="preserve">, Daniel Osvaldo s/Tercería en autos: </w:t>
      </w:r>
      <w:proofErr w:type="spellStart"/>
      <w:r w:rsidRPr="005A0549">
        <w:rPr>
          <w:rFonts w:ascii="Times New Roman" w:eastAsia="Times New Roman" w:hAnsi="Times New Roman" w:cs="Times New Roman"/>
          <w:sz w:val="24"/>
          <w:szCs w:val="24"/>
          <w:lang w:eastAsia="es-AR"/>
        </w:rPr>
        <w:t>Mariezcurrena</w:t>
      </w:r>
      <w:proofErr w:type="spellEnd"/>
      <w:r w:rsidRPr="005A0549">
        <w:rPr>
          <w:rFonts w:ascii="Times New Roman" w:eastAsia="Times New Roman" w:hAnsi="Times New Roman" w:cs="Times New Roman"/>
          <w:sz w:val="24"/>
          <w:szCs w:val="24"/>
          <w:lang w:eastAsia="es-AR"/>
        </w:rPr>
        <w:t xml:space="preserve">, Gustavo c/ </w:t>
      </w:r>
      <w:proofErr w:type="spellStart"/>
      <w:r w:rsidRPr="005A0549">
        <w:rPr>
          <w:rFonts w:ascii="Times New Roman" w:eastAsia="Times New Roman" w:hAnsi="Times New Roman" w:cs="Times New Roman"/>
          <w:sz w:val="24"/>
          <w:szCs w:val="24"/>
          <w:lang w:eastAsia="es-AR"/>
        </w:rPr>
        <w:t>Ajón</w:t>
      </w:r>
      <w:proofErr w:type="spellEnd"/>
      <w:r w:rsidRPr="005A0549">
        <w:rPr>
          <w:rFonts w:ascii="Times New Roman" w:eastAsia="Times New Roman" w:hAnsi="Times New Roman" w:cs="Times New Roman"/>
          <w:sz w:val="24"/>
          <w:szCs w:val="24"/>
          <w:lang w:eastAsia="es-AR"/>
        </w:rPr>
        <w:t>, Simón s/Ejecutivo", del 25.9.01; íd. "</w:t>
      </w:r>
      <w:proofErr w:type="spellStart"/>
      <w:r w:rsidRPr="005A0549">
        <w:rPr>
          <w:rFonts w:ascii="Times New Roman" w:eastAsia="Times New Roman" w:hAnsi="Times New Roman" w:cs="Times New Roman"/>
          <w:sz w:val="24"/>
          <w:szCs w:val="24"/>
          <w:lang w:eastAsia="es-AR"/>
        </w:rPr>
        <w:t>Verdoljak</w:t>
      </w:r>
      <w:proofErr w:type="spellEnd"/>
      <w:r w:rsidRPr="005A0549">
        <w:rPr>
          <w:rFonts w:ascii="Times New Roman" w:eastAsia="Times New Roman" w:hAnsi="Times New Roman" w:cs="Times New Roman"/>
          <w:sz w:val="24"/>
          <w:szCs w:val="24"/>
          <w:lang w:eastAsia="es-AR"/>
        </w:rPr>
        <w:t xml:space="preserve"> Miguel </w:t>
      </w:r>
      <w:proofErr w:type="spellStart"/>
      <w:r w:rsidRPr="005A0549">
        <w:rPr>
          <w:rFonts w:ascii="Times New Roman" w:eastAsia="Times New Roman" w:hAnsi="Times New Roman" w:cs="Times New Roman"/>
          <w:sz w:val="24"/>
          <w:szCs w:val="24"/>
          <w:lang w:eastAsia="es-AR"/>
        </w:rPr>
        <w:t>Angel</w:t>
      </w:r>
      <w:proofErr w:type="spellEnd"/>
      <w:r w:rsidRPr="005A0549">
        <w:rPr>
          <w:rFonts w:ascii="Times New Roman" w:eastAsia="Times New Roman" w:hAnsi="Times New Roman" w:cs="Times New Roman"/>
          <w:sz w:val="24"/>
          <w:szCs w:val="24"/>
          <w:lang w:eastAsia="es-AR"/>
        </w:rPr>
        <w:t xml:space="preserve"> c/ Fiat Auto SA de Ahorro p/f Determinados s/tercería de dominio", del 24.4.09).</w:t>
      </w:r>
    </w:p>
    <w:p w:rsidR="00C429EB" w:rsidRPr="005A0549" w:rsidRDefault="00C429EB" w:rsidP="00C429E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Sin embargo, en tanto tal postura no es compartida por mis distinguidos colegas, la consideración de los agravios relativa a la integración o no del veinticinco por ciento del precio pactado, resulta de abstracto tratamiento</w:t>
      </w:r>
      <w:proofErr w:type="gramStart"/>
      <w:r w:rsidRPr="005A0549">
        <w:rPr>
          <w:rFonts w:ascii="Times New Roman" w:eastAsia="Times New Roman" w:hAnsi="Times New Roman" w:cs="Times New Roman"/>
          <w:sz w:val="24"/>
          <w:szCs w:val="24"/>
          <w:lang w:eastAsia="es-AR"/>
        </w:rPr>
        <w:t>.—</w:t>
      </w:r>
      <w:proofErr w:type="gramEnd"/>
      <w:r w:rsidRPr="005A0549">
        <w:rPr>
          <w:rFonts w:ascii="Times New Roman" w:eastAsia="Times New Roman" w:hAnsi="Times New Roman" w:cs="Times New Roman"/>
          <w:sz w:val="24"/>
          <w:szCs w:val="24"/>
          <w:lang w:eastAsia="es-AR"/>
        </w:rPr>
        <w:t xml:space="preserve"> </w:t>
      </w:r>
      <w:proofErr w:type="spellStart"/>
      <w:r w:rsidRPr="005A0549">
        <w:rPr>
          <w:rFonts w:ascii="Times New Roman" w:eastAsia="Times New Roman" w:hAnsi="Times New Roman" w:cs="Times New Roman"/>
          <w:sz w:val="24"/>
          <w:szCs w:val="24"/>
          <w:lang w:eastAsia="es-AR"/>
        </w:rPr>
        <w:t>Bindo</w:t>
      </w:r>
      <w:proofErr w:type="spellEnd"/>
      <w:r w:rsidRPr="005A0549">
        <w:rPr>
          <w:rFonts w:ascii="Times New Roman" w:eastAsia="Times New Roman" w:hAnsi="Times New Roman" w:cs="Times New Roman"/>
          <w:sz w:val="24"/>
          <w:szCs w:val="24"/>
          <w:lang w:eastAsia="es-AR"/>
        </w:rPr>
        <w:t xml:space="preserve"> B. </w:t>
      </w:r>
      <w:proofErr w:type="spellStart"/>
      <w:r w:rsidRPr="005A0549">
        <w:rPr>
          <w:rFonts w:ascii="Times New Roman" w:eastAsia="Times New Roman" w:hAnsi="Times New Roman" w:cs="Times New Roman"/>
          <w:sz w:val="24"/>
          <w:szCs w:val="24"/>
          <w:lang w:eastAsia="es-AR"/>
        </w:rPr>
        <w:t>Caviglione</w:t>
      </w:r>
      <w:proofErr w:type="spellEnd"/>
      <w:r w:rsidRPr="005A0549">
        <w:rPr>
          <w:rFonts w:ascii="Times New Roman" w:eastAsia="Times New Roman" w:hAnsi="Times New Roman" w:cs="Times New Roman"/>
          <w:sz w:val="24"/>
          <w:szCs w:val="24"/>
          <w:lang w:eastAsia="es-AR"/>
        </w:rPr>
        <w:t xml:space="preserve"> Fraga. </w:t>
      </w:r>
    </w:p>
    <w:p w:rsidR="00C429EB" w:rsidRPr="005A0549" w:rsidRDefault="00C429EB" w:rsidP="00C429EB">
      <w:pPr>
        <w:spacing w:after="0" w:line="240" w:lineRule="auto"/>
        <w:jc w:val="both"/>
        <w:rPr>
          <w:rFonts w:ascii="Times New Roman" w:eastAsia="Times New Roman" w:hAnsi="Times New Roman" w:cs="Times New Roman"/>
          <w:sz w:val="24"/>
          <w:szCs w:val="24"/>
          <w:lang w:eastAsia="es-AR"/>
        </w:rPr>
      </w:pPr>
      <w:r w:rsidRPr="005A0549">
        <w:rPr>
          <w:rFonts w:ascii="Times New Roman" w:eastAsia="Times New Roman" w:hAnsi="Times New Roman" w:cs="Times New Roman"/>
          <w:sz w:val="24"/>
          <w:szCs w:val="24"/>
          <w:lang w:eastAsia="es-AR"/>
        </w:rPr>
        <w:t> </w:t>
      </w:r>
    </w:p>
    <w:p w:rsidR="00C429EB" w:rsidRDefault="00C429EB" w:rsidP="00C429EB">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C429EB"/>
    <w:rsid w:val="000D756C"/>
    <w:rsid w:val="00467085"/>
    <w:rsid w:val="00A36C50"/>
    <w:rsid w:val="00C429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7188</Characters>
  <Application>Microsoft Office Word</Application>
  <DocSecurity>0</DocSecurity>
  <Lines>59</Lines>
  <Paragraphs>16</Paragraphs>
  <ScaleCrop>false</ScaleCrop>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2012-01-23T16:34:00Z</dcterms:created>
  <dcterms:modified xsi:type="dcterms:W3CDTF">2014-04-23T13:01:00Z</dcterms:modified>
</cp:coreProperties>
</file>