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9EB" w:rsidRPr="005A0549" w:rsidRDefault="00C429EB" w:rsidP="00C429EB">
      <w:pPr>
        <w:spacing w:before="100" w:beforeAutospacing="1" w:after="100" w:afterAutospacing="1" w:line="240" w:lineRule="auto"/>
        <w:jc w:val="both"/>
        <w:rPr>
          <w:rFonts w:ascii="Times New Roman" w:eastAsia="Times New Roman" w:hAnsi="Times New Roman" w:cs="Times New Roman"/>
          <w:sz w:val="24"/>
          <w:szCs w:val="24"/>
          <w:lang w:eastAsia="es-AR"/>
        </w:rPr>
      </w:pPr>
      <w:bookmarkStart w:id="0" w:name="_GoBack"/>
      <w:bookmarkEnd w:id="0"/>
      <w:r w:rsidRPr="005A0549">
        <w:rPr>
          <w:rFonts w:ascii="Times New Roman" w:eastAsia="Times New Roman" w:hAnsi="Times New Roman" w:cs="Times New Roman"/>
          <w:sz w:val="24"/>
          <w:szCs w:val="24"/>
          <w:lang w:eastAsia="es-AR"/>
        </w:rPr>
        <w:t>Cámara Nacional de Apelaciones en lo Comercial, sala E</w:t>
      </w:r>
    </w:p>
    <w:p w:rsidR="00C429EB" w:rsidRPr="005A0549" w:rsidRDefault="00C429EB" w:rsidP="00C429EB">
      <w:pPr>
        <w:spacing w:after="0" w:line="240" w:lineRule="auto"/>
        <w:jc w:val="both"/>
        <w:rPr>
          <w:rFonts w:ascii="Times New Roman" w:eastAsia="Times New Roman" w:hAnsi="Times New Roman" w:cs="Times New Roman"/>
          <w:sz w:val="24"/>
          <w:szCs w:val="24"/>
          <w:lang w:eastAsia="es-AR"/>
        </w:rPr>
      </w:pPr>
      <w:proofErr w:type="spellStart"/>
      <w:r w:rsidRPr="005A0549">
        <w:rPr>
          <w:rFonts w:ascii="Times New Roman" w:eastAsia="Times New Roman" w:hAnsi="Times New Roman" w:cs="Times New Roman"/>
          <w:sz w:val="24"/>
          <w:szCs w:val="24"/>
          <w:lang w:eastAsia="es-AR"/>
        </w:rPr>
        <w:t>Lignini</w:t>
      </w:r>
      <w:proofErr w:type="spellEnd"/>
      <w:r w:rsidRPr="005A0549">
        <w:rPr>
          <w:rFonts w:ascii="Times New Roman" w:eastAsia="Times New Roman" w:hAnsi="Times New Roman" w:cs="Times New Roman"/>
          <w:sz w:val="24"/>
          <w:szCs w:val="24"/>
          <w:lang w:eastAsia="es-AR"/>
        </w:rPr>
        <w:t xml:space="preserve">, Juan Martín s/tercería de dominio promovida en: Del Campo, Alba c. </w:t>
      </w:r>
      <w:proofErr w:type="spellStart"/>
      <w:r w:rsidRPr="005A0549">
        <w:rPr>
          <w:rFonts w:ascii="Times New Roman" w:eastAsia="Times New Roman" w:hAnsi="Times New Roman" w:cs="Times New Roman"/>
          <w:sz w:val="24"/>
          <w:szCs w:val="24"/>
          <w:lang w:eastAsia="es-AR"/>
        </w:rPr>
        <w:t>Alvarez</w:t>
      </w:r>
      <w:proofErr w:type="spellEnd"/>
      <w:r w:rsidRPr="005A0549">
        <w:rPr>
          <w:rFonts w:ascii="Times New Roman" w:eastAsia="Times New Roman" w:hAnsi="Times New Roman" w:cs="Times New Roman"/>
          <w:sz w:val="24"/>
          <w:szCs w:val="24"/>
          <w:lang w:eastAsia="es-AR"/>
        </w:rPr>
        <w:t xml:space="preserve"> y otros s/ejecutivo • 21/10/2010  </w:t>
      </w:r>
    </w:p>
    <w:p w:rsidR="00C429EB" w:rsidRDefault="00C429EB" w:rsidP="00C429EB">
      <w:pPr>
        <w:spacing w:before="100" w:beforeAutospacing="1" w:after="100" w:afterAutospacing="1" w:line="240" w:lineRule="auto"/>
        <w:jc w:val="both"/>
        <w:rPr>
          <w:rFonts w:ascii="Times New Roman" w:eastAsia="Times New Roman" w:hAnsi="Times New Roman" w:cs="Times New Roman"/>
          <w:sz w:val="24"/>
          <w:szCs w:val="24"/>
          <w:lang w:eastAsia="es-AR"/>
        </w:rPr>
      </w:pPr>
    </w:p>
    <w:p w:rsidR="00C429EB" w:rsidRPr="005A0549" w:rsidRDefault="00C429EB" w:rsidP="00C429E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5A0549">
        <w:rPr>
          <w:rFonts w:ascii="Times New Roman" w:eastAsia="Times New Roman" w:hAnsi="Times New Roman" w:cs="Times New Roman"/>
          <w:sz w:val="24"/>
          <w:szCs w:val="24"/>
          <w:lang w:eastAsia="es-AR"/>
        </w:rPr>
        <w:t>2ª Instancia. — Buenos Aires, octubre 21 de 2010.</w:t>
      </w:r>
    </w:p>
    <w:p w:rsidR="00C429EB" w:rsidRPr="005A0549" w:rsidRDefault="00C429EB" w:rsidP="00C429E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5A0549">
        <w:rPr>
          <w:rFonts w:ascii="Times New Roman" w:eastAsia="Times New Roman" w:hAnsi="Times New Roman" w:cs="Times New Roman"/>
          <w:sz w:val="24"/>
          <w:szCs w:val="24"/>
          <w:lang w:eastAsia="es-AR"/>
        </w:rPr>
        <w:t xml:space="preserve">Considerando: 1. Apeló Juan Martín </w:t>
      </w:r>
      <w:proofErr w:type="spellStart"/>
      <w:r w:rsidRPr="005A0549">
        <w:rPr>
          <w:rFonts w:ascii="Times New Roman" w:eastAsia="Times New Roman" w:hAnsi="Times New Roman" w:cs="Times New Roman"/>
          <w:sz w:val="24"/>
          <w:szCs w:val="24"/>
          <w:lang w:eastAsia="es-AR"/>
        </w:rPr>
        <w:t>Lignini</w:t>
      </w:r>
      <w:proofErr w:type="spellEnd"/>
      <w:r w:rsidRPr="005A0549">
        <w:rPr>
          <w:rFonts w:ascii="Times New Roman" w:eastAsia="Times New Roman" w:hAnsi="Times New Roman" w:cs="Times New Roman"/>
          <w:sz w:val="24"/>
          <w:szCs w:val="24"/>
          <w:lang w:eastAsia="es-AR"/>
        </w:rPr>
        <w:t xml:space="preserve"> la resolución de fs. </w:t>
      </w:r>
      <w:proofErr w:type="gramStart"/>
      <w:r w:rsidRPr="005A0549">
        <w:rPr>
          <w:rFonts w:ascii="Times New Roman" w:eastAsia="Times New Roman" w:hAnsi="Times New Roman" w:cs="Times New Roman"/>
          <w:sz w:val="24"/>
          <w:szCs w:val="24"/>
          <w:lang w:eastAsia="es-AR"/>
        </w:rPr>
        <w:t>fs</w:t>
      </w:r>
      <w:proofErr w:type="gramEnd"/>
      <w:r w:rsidRPr="005A0549">
        <w:rPr>
          <w:rFonts w:ascii="Times New Roman" w:eastAsia="Times New Roman" w:hAnsi="Times New Roman" w:cs="Times New Roman"/>
          <w:sz w:val="24"/>
          <w:szCs w:val="24"/>
          <w:lang w:eastAsia="es-AR"/>
        </w:rPr>
        <w:t>. 98/100, que rechazó la tercería de mejor derecho que articuló.</w:t>
      </w:r>
    </w:p>
    <w:p w:rsidR="00C429EB" w:rsidRPr="005A0549" w:rsidRDefault="00C429EB" w:rsidP="00C429E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5A0549">
        <w:rPr>
          <w:rFonts w:ascii="Times New Roman" w:eastAsia="Times New Roman" w:hAnsi="Times New Roman" w:cs="Times New Roman"/>
          <w:sz w:val="24"/>
          <w:szCs w:val="24"/>
          <w:lang w:eastAsia="es-AR"/>
        </w:rPr>
        <w:t xml:space="preserve">El recurrente fundó su recurso mediante la pieza obrante a fs. 115/119, la que fue contestada por la parte actora del juicio principal a fs. 121/120. </w:t>
      </w:r>
    </w:p>
    <w:p w:rsidR="00C429EB" w:rsidRPr="005A0549" w:rsidRDefault="00C429EB" w:rsidP="00C429E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5A0549">
        <w:rPr>
          <w:rFonts w:ascii="Times New Roman" w:eastAsia="Times New Roman" w:hAnsi="Times New Roman" w:cs="Times New Roman"/>
          <w:sz w:val="24"/>
          <w:szCs w:val="24"/>
          <w:lang w:eastAsia="es-AR"/>
        </w:rPr>
        <w:t xml:space="preserve">2.a) </w:t>
      </w:r>
      <w:proofErr w:type="spellStart"/>
      <w:r w:rsidRPr="005A0549">
        <w:rPr>
          <w:rFonts w:ascii="Times New Roman" w:eastAsia="Times New Roman" w:hAnsi="Times New Roman" w:cs="Times New Roman"/>
          <w:sz w:val="24"/>
          <w:szCs w:val="24"/>
          <w:lang w:eastAsia="es-AR"/>
        </w:rPr>
        <w:t>Liminarmente</w:t>
      </w:r>
      <w:proofErr w:type="spellEnd"/>
      <w:r w:rsidRPr="005A0549">
        <w:rPr>
          <w:rFonts w:ascii="Times New Roman" w:eastAsia="Times New Roman" w:hAnsi="Times New Roman" w:cs="Times New Roman"/>
          <w:sz w:val="24"/>
          <w:szCs w:val="24"/>
          <w:lang w:eastAsia="es-AR"/>
        </w:rPr>
        <w:t>, cuadra señalar que la nulidad de una sentencia sólo procede cuando adolece de vicios o defectos de forma o construcción que la descalifican como acto jurisdiccional; es decir, cuando se ha dictado sin sujeción a los requisitos de tiempo, lugar y forma prescriptos por la ley adjetiva (</w:t>
      </w:r>
      <w:proofErr w:type="spellStart"/>
      <w:r w:rsidRPr="005A0549">
        <w:rPr>
          <w:rFonts w:ascii="Times New Roman" w:eastAsia="Times New Roman" w:hAnsi="Times New Roman" w:cs="Times New Roman"/>
          <w:sz w:val="24"/>
          <w:szCs w:val="24"/>
          <w:lang w:eastAsia="es-AR"/>
        </w:rPr>
        <w:t>CPr</w:t>
      </w:r>
      <w:proofErr w:type="spellEnd"/>
      <w:r w:rsidRPr="005A0549">
        <w:rPr>
          <w:rFonts w:ascii="Times New Roman" w:eastAsia="Times New Roman" w:hAnsi="Times New Roman" w:cs="Times New Roman"/>
          <w:sz w:val="24"/>
          <w:szCs w:val="24"/>
          <w:lang w:eastAsia="es-AR"/>
        </w:rPr>
        <w:t>.: 34, 4 y 163).</w:t>
      </w:r>
    </w:p>
    <w:p w:rsidR="00C429EB" w:rsidRPr="005A0549" w:rsidRDefault="00C429EB" w:rsidP="00C429E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5A0549">
        <w:rPr>
          <w:rFonts w:ascii="Times New Roman" w:eastAsia="Times New Roman" w:hAnsi="Times New Roman" w:cs="Times New Roman"/>
          <w:sz w:val="24"/>
          <w:szCs w:val="24"/>
          <w:lang w:eastAsia="es-AR"/>
        </w:rPr>
        <w:t>Es improcedente frente a hipótesis como las denunciadas -errores u omisiones-; pues, de existir, pueden ser reparadas por medio del recurso de apelación, en el que el tribunal de alzada puede examinar los hechos y el derecho, con plena jurisdicción (</w:t>
      </w:r>
      <w:proofErr w:type="spellStart"/>
      <w:r w:rsidRPr="005A0549">
        <w:rPr>
          <w:rFonts w:ascii="Times New Roman" w:eastAsia="Times New Roman" w:hAnsi="Times New Roman" w:cs="Times New Roman"/>
          <w:sz w:val="24"/>
          <w:szCs w:val="24"/>
          <w:lang w:eastAsia="es-AR"/>
        </w:rPr>
        <w:t>CPr</w:t>
      </w:r>
      <w:proofErr w:type="spellEnd"/>
      <w:r w:rsidRPr="005A0549">
        <w:rPr>
          <w:rFonts w:ascii="Times New Roman" w:eastAsia="Times New Roman" w:hAnsi="Times New Roman" w:cs="Times New Roman"/>
          <w:sz w:val="24"/>
          <w:szCs w:val="24"/>
          <w:lang w:eastAsia="es-AR"/>
        </w:rPr>
        <w:t>.: 278; v. esta Sala en: "</w:t>
      </w:r>
      <w:proofErr w:type="spellStart"/>
      <w:r w:rsidRPr="005A0549">
        <w:rPr>
          <w:rFonts w:ascii="Times New Roman" w:eastAsia="Times New Roman" w:hAnsi="Times New Roman" w:cs="Times New Roman"/>
          <w:sz w:val="24"/>
          <w:szCs w:val="24"/>
          <w:lang w:eastAsia="es-AR"/>
        </w:rPr>
        <w:t>Maragna</w:t>
      </w:r>
      <w:proofErr w:type="spellEnd"/>
      <w:r w:rsidRPr="005A0549">
        <w:rPr>
          <w:rFonts w:ascii="Times New Roman" w:eastAsia="Times New Roman" w:hAnsi="Times New Roman" w:cs="Times New Roman"/>
          <w:sz w:val="24"/>
          <w:szCs w:val="24"/>
          <w:lang w:eastAsia="es-AR"/>
        </w:rPr>
        <w:t xml:space="preserve">, José Luis y otro", del 11/4/91). </w:t>
      </w:r>
    </w:p>
    <w:p w:rsidR="00C429EB" w:rsidRPr="005A0549" w:rsidRDefault="00C429EB" w:rsidP="00C429E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5A0549">
        <w:rPr>
          <w:rFonts w:ascii="Times New Roman" w:eastAsia="Times New Roman" w:hAnsi="Times New Roman" w:cs="Times New Roman"/>
          <w:sz w:val="24"/>
          <w:szCs w:val="24"/>
          <w:lang w:eastAsia="es-AR"/>
        </w:rPr>
        <w:t>No procede entonces la nulidad del pronunciamiento; cuando en definitiva, con esa pretensión se apunta a la obtención de una sentencia ajustada a derecho y ese objetivo puede lograrse mediante la consideración de los agravios (</w:t>
      </w:r>
      <w:proofErr w:type="spellStart"/>
      <w:r w:rsidRPr="005A0549">
        <w:rPr>
          <w:rFonts w:ascii="Times New Roman" w:eastAsia="Times New Roman" w:hAnsi="Times New Roman" w:cs="Times New Roman"/>
          <w:sz w:val="24"/>
          <w:szCs w:val="24"/>
          <w:lang w:eastAsia="es-AR"/>
        </w:rPr>
        <w:t>CPr</w:t>
      </w:r>
      <w:proofErr w:type="spellEnd"/>
      <w:r w:rsidRPr="005A0549">
        <w:rPr>
          <w:rFonts w:ascii="Times New Roman" w:eastAsia="Times New Roman" w:hAnsi="Times New Roman" w:cs="Times New Roman"/>
          <w:sz w:val="24"/>
          <w:szCs w:val="24"/>
          <w:lang w:eastAsia="es-AR"/>
        </w:rPr>
        <w:t>.: 253).</w:t>
      </w:r>
    </w:p>
    <w:p w:rsidR="00C429EB" w:rsidRPr="005A0549" w:rsidRDefault="00C429EB" w:rsidP="00C429E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5A0549">
        <w:rPr>
          <w:rFonts w:ascii="Times New Roman" w:eastAsia="Times New Roman" w:hAnsi="Times New Roman" w:cs="Times New Roman"/>
          <w:sz w:val="24"/>
          <w:szCs w:val="24"/>
          <w:lang w:eastAsia="es-AR"/>
        </w:rPr>
        <w:t xml:space="preserve">Es que, aun cuando el juez de grado no se hubiera expedido acerca de la admisibilidad o no de las pruebas ofrecidas por el recurrente, lo cierto es que, la cuestión puede resolverse con las solas constancias de autos en tanto puede catalogarse como de puro derecho. </w:t>
      </w:r>
    </w:p>
    <w:p w:rsidR="00C429EB" w:rsidRPr="005A0549" w:rsidRDefault="00C429EB" w:rsidP="00C429E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5A0549">
        <w:rPr>
          <w:rFonts w:ascii="Times New Roman" w:eastAsia="Times New Roman" w:hAnsi="Times New Roman" w:cs="Times New Roman"/>
          <w:sz w:val="24"/>
          <w:szCs w:val="24"/>
          <w:lang w:eastAsia="es-AR"/>
        </w:rPr>
        <w:t xml:space="preserve">2.b) Sentado lo anterior, y si bien se admitieren los agravios, vinculados a la efectiva integración del veinticinco por ciento del precio oportunamente convenido en el boleto de compraventa copiado a fs. 23/27, lo cierto es que, este tribunal -bien que con una integración distinta, pero cuyo criterio comparten la mayoría de los vocales que actualmente lo componen- sostuvo que tratándose de un inmueble, la propiedad del bien </w:t>
      </w:r>
      <w:proofErr w:type="gramStart"/>
      <w:r w:rsidRPr="005A0549">
        <w:rPr>
          <w:rFonts w:ascii="Times New Roman" w:eastAsia="Times New Roman" w:hAnsi="Times New Roman" w:cs="Times New Roman"/>
          <w:sz w:val="24"/>
          <w:szCs w:val="24"/>
          <w:lang w:eastAsia="es-AR"/>
        </w:rPr>
        <w:t>embargado</w:t>
      </w:r>
      <w:proofErr w:type="gramEnd"/>
      <w:r w:rsidRPr="005A0549">
        <w:rPr>
          <w:rFonts w:ascii="Times New Roman" w:eastAsia="Times New Roman" w:hAnsi="Times New Roman" w:cs="Times New Roman"/>
          <w:sz w:val="24"/>
          <w:szCs w:val="24"/>
          <w:lang w:eastAsia="es-AR"/>
        </w:rPr>
        <w:t xml:space="preserve"> no podía acreditarse con un boleto de compraventa, aunque mediara posesión e, incluso, condena a escriturar (v. "Martínez, Roberto s/ tercería de dominio en autos: </w:t>
      </w:r>
      <w:proofErr w:type="spellStart"/>
      <w:r w:rsidRPr="005A0549">
        <w:rPr>
          <w:rFonts w:ascii="Times New Roman" w:eastAsia="Times New Roman" w:hAnsi="Times New Roman" w:cs="Times New Roman"/>
          <w:sz w:val="24"/>
          <w:szCs w:val="24"/>
          <w:lang w:eastAsia="es-AR"/>
        </w:rPr>
        <w:t>Veglia</w:t>
      </w:r>
      <w:proofErr w:type="spellEnd"/>
      <w:r w:rsidRPr="005A0549">
        <w:rPr>
          <w:rFonts w:ascii="Times New Roman" w:eastAsia="Times New Roman" w:hAnsi="Times New Roman" w:cs="Times New Roman"/>
          <w:sz w:val="24"/>
          <w:szCs w:val="24"/>
          <w:lang w:eastAsia="es-AR"/>
        </w:rPr>
        <w:t xml:space="preserve"> c. </w:t>
      </w:r>
      <w:proofErr w:type="spellStart"/>
      <w:r w:rsidRPr="005A0549">
        <w:rPr>
          <w:rFonts w:ascii="Times New Roman" w:eastAsia="Times New Roman" w:hAnsi="Times New Roman" w:cs="Times New Roman"/>
          <w:sz w:val="24"/>
          <w:szCs w:val="24"/>
          <w:lang w:eastAsia="es-AR"/>
        </w:rPr>
        <w:t>D"Ippolito</w:t>
      </w:r>
      <w:proofErr w:type="spellEnd"/>
      <w:r w:rsidRPr="005A0549">
        <w:rPr>
          <w:rFonts w:ascii="Times New Roman" w:eastAsia="Times New Roman" w:hAnsi="Times New Roman" w:cs="Times New Roman"/>
          <w:sz w:val="24"/>
          <w:szCs w:val="24"/>
          <w:lang w:eastAsia="es-AR"/>
        </w:rPr>
        <w:t xml:space="preserve"> s/ejecutivo", de 4.3.97).</w:t>
      </w:r>
    </w:p>
    <w:p w:rsidR="00C429EB" w:rsidRPr="005A0549" w:rsidRDefault="00C429EB" w:rsidP="00C429E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5A0549">
        <w:rPr>
          <w:rFonts w:ascii="Times New Roman" w:eastAsia="Times New Roman" w:hAnsi="Times New Roman" w:cs="Times New Roman"/>
          <w:sz w:val="24"/>
          <w:szCs w:val="24"/>
          <w:lang w:eastAsia="es-AR"/>
        </w:rPr>
        <w:t xml:space="preserve">Allí se juzgó que, a tenor de los términos del </w:t>
      </w:r>
      <w:proofErr w:type="spellStart"/>
      <w:r w:rsidRPr="005A0549">
        <w:rPr>
          <w:rFonts w:ascii="Times New Roman" w:eastAsia="Times New Roman" w:hAnsi="Times New Roman" w:cs="Times New Roman"/>
          <w:sz w:val="24"/>
          <w:szCs w:val="24"/>
          <w:lang w:eastAsia="es-AR"/>
        </w:rPr>
        <w:t>CCiv</w:t>
      </w:r>
      <w:proofErr w:type="spellEnd"/>
      <w:r w:rsidRPr="005A0549">
        <w:rPr>
          <w:rFonts w:ascii="Times New Roman" w:eastAsia="Times New Roman" w:hAnsi="Times New Roman" w:cs="Times New Roman"/>
          <w:sz w:val="24"/>
          <w:szCs w:val="24"/>
          <w:lang w:eastAsia="es-AR"/>
        </w:rPr>
        <w:t xml:space="preserve">. 1184:1 y 2505, la transmisión del derecho real de dominio exige para su perfeccionamiento y </w:t>
      </w:r>
      <w:proofErr w:type="spellStart"/>
      <w:r w:rsidRPr="005A0549">
        <w:rPr>
          <w:rFonts w:ascii="Times New Roman" w:eastAsia="Times New Roman" w:hAnsi="Times New Roman" w:cs="Times New Roman"/>
          <w:sz w:val="24"/>
          <w:szCs w:val="24"/>
          <w:lang w:eastAsia="es-AR"/>
        </w:rPr>
        <w:t>oponibilidad</w:t>
      </w:r>
      <w:proofErr w:type="spellEnd"/>
      <w:r w:rsidRPr="005A0549">
        <w:rPr>
          <w:rFonts w:ascii="Times New Roman" w:eastAsia="Times New Roman" w:hAnsi="Times New Roman" w:cs="Times New Roman"/>
          <w:sz w:val="24"/>
          <w:szCs w:val="24"/>
          <w:lang w:eastAsia="es-AR"/>
        </w:rPr>
        <w:t xml:space="preserve"> a terceros —en el caso, el acreedor embargante— el otorgamiento de la correspondiente escritura pública y su inscripción en el respectivo registro inmobiliario (v. citas allí practicadas).</w:t>
      </w:r>
    </w:p>
    <w:p w:rsidR="00C429EB" w:rsidRPr="005A0549" w:rsidRDefault="00C429EB" w:rsidP="00C429E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5A0549">
        <w:rPr>
          <w:rFonts w:ascii="Times New Roman" w:eastAsia="Times New Roman" w:hAnsi="Times New Roman" w:cs="Times New Roman"/>
          <w:sz w:val="24"/>
          <w:szCs w:val="24"/>
          <w:lang w:eastAsia="es-AR"/>
        </w:rPr>
        <w:lastRenderedPageBreak/>
        <w:t xml:space="preserve">En caso de compraventa de inmuebles, mientras no se firme la escritura pública y, eventualmente, se la inscriba en el registro de la propiedad inmueble, el único propietario de la cosa para los terceros será el vendedor, aunque se haya hecho tradición de ella al adquirente y aun cuando mediara condena judicial a escriturar: para transferir el dominio se requiere título, modo e inscripción, por lo que la suscripción de un boleto de compraventa no produce la transmisión </w:t>
      </w:r>
      <w:proofErr w:type="spellStart"/>
      <w:r w:rsidRPr="005A0549">
        <w:rPr>
          <w:rFonts w:ascii="Times New Roman" w:eastAsia="Times New Roman" w:hAnsi="Times New Roman" w:cs="Times New Roman"/>
          <w:sz w:val="24"/>
          <w:szCs w:val="24"/>
          <w:lang w:eastAsia="es-AR"/>
        </w:rPr>
        <w:t>dominial</w:t>
      </w:r>
      <w:proofErr w:type="spellEnd"/>
      <w:r w:rsidRPr="005A0549">
        <w:rPr>
          <w:rFonts w:ascii="Times New Roman" w:eastAsia="Times New Roman" w:hAnsi="Times New Roman" w:cs="Times New Roman"/>
          <w:sz w:val="24"/>
          <w:szCs w:val="24"/>
          <w:lang w:eastAsia="es-AR"/>
        </w:rPr>
        <w:t xml:space="preserve"> (cfr. Mariani de Vidal, Marina, "Curso de derechos reales", </w:t>
      </w:r>
      <w:proofErr w:type="spellStart"/>
      <w:r w:rsidRPr="005A0549">
        <w:rPr>
          <w:rFonts w:ascii="Times New Roman" w:eastAsia="Times New Roman" w:hAnsi="Times New Roman" w:cs="Times New Roman"/>
          <w:sz w:val="24"/>
          <w:szCs w:val="24"/>
          <w:lang w:eastAsia="es-AR"/>
        </w:rPr>
        <w:t>Zavalía</w:t>
      </w:r>
      <w:proofErr w:type="spellEnd"/>
      <w:r w:rsidRPr="005A0549">
        <w:rPr>
          <w:rFonts w:ascii="Times New Roman" w:eastAsia="Times New Roman" w:hAnsi="Times New Roman" w:cs="Times New Roman"/>
          <w:sz w:val="24"/>
          <w:szCs w:val="24"/>
          <w:lang w:eastAsia="es-AR"/>
        </w:rPr>
        <w:t xml:space="preserve">, Bs. As., 1997, pág. 139; </w:t>
      </w:r>
      <w:proofErr w:type="spellStart"/>
      <w:r w:rsidRPr="005A0549">
        <w:rPr>
          <w:rFonts w:ascii="Times New Roman" w:eastAsia="Times New Roman" w:hAnsi="Times New Roman" w:cs="Times New Roman"/>
          <w:sz w:val="24"/>
          <w:szCs w:val="24"/>
          <w:lang w:eastAsia="es-AR"/>
        </w:rPr>
        <w:t>CNCom</w:t>
      </w:r>
      <w:proofErr w:type="spellEnd"/>
      <w:r w:rsidRPr="005A0549">
        <w:rPr>
          <w:rFonts w:ascii="Times New Roman" w:eastAsia="Times New Roman" w:hAnsi="Times New Roman" w:cs="Times New Roman"/>
          <w:sz w:val="24"/>
          <w:szCs w:val="24"/>
          <w:lang w:eastAsia="es-AR"/>
        </w:rPr>
        <w:t xml:space="preserve">. Sala B, in re "Guevara de </w:t>
      </w:r>
      <w:proofErr w:type="spellStart"/>
      <w:r w:rsidRPr="005A0549">
        <w:rPr>
          <w:rFonts w:ascii="Times New Roman" w:eastAsia="Times New Roman" w:hAnsi="Times New Roman" w:cs="Times New Roman"/>
          <w:sz w:val="24"/>
          <w:szCs w:val="24"/>
          <w:lang w:eastAsia="es-AR"/>
        </w:rPr>
        <w:t>Miere</w:t>
      </w:r>
      <w:proofErr w:type="spellEnd"/>
      <w:r w:rsidRPr="005A0549">
        <w:rPr>
          <w:rFonts w:ascii="Times New Roman" w:eastAsia="Times New Roman" w:hAnsi="Times New Roman" w:cs="Times New Roman"/>
          <w:sz w:val="24"/>
          <w:szCs w:val="24"/>
          <w:lang w:eastAsia="es-AR"/>
        </w:rPr>
        <w:t xml:space="preserve">, Marta Delia s/tercería de dominio en autos "Vallejo Gustavo c/ </w:t>
      </w:r>
      <w:proofErr w:type="spellStart"/>
      <w:r w:rsidRPr="005A0549">
        <w:rPr>
          <w:rFonts w:ascii="Times New Roman" w:eastAsia="Times New Roman" w:hAnsi="Times New Roman" w:cs="Times New Roman"/>
          <w:sz w:val="24"/>
          <w:szCs w:val="24"/>
          <w:lang w:eastAsia="es-AR"/>
        </w:rPr>
        <w:t>Miret</w:t>
      </w:r>
      <w:proofErr w:type="spellEnd"/>
      <w:r w:rsidRPr="005A0549">
        <w:rPr>
          <w:rFonts w:ascii="Times New Roman" w:eastAsia="Times New Roman" w:hAnsi="Times New Roman" w:cs="Times New Roman"/>
          <w:sz w:val="24"/>
          <w:szCs w:val="24"/>
          <w:lang w:eastAsia="es-AR"/>
        </w:rPr>
        <w:t xml:space="preserve"> José s/ejecutivo", de 30/11/06). </w:t>
      </w:r>
    </w:p>
    <w:p w:rsidR="00C429EB" w:rsidRPr="005A0549" w:rsidRDefault="00C429EB" w:rsidP="00C429E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5A0549">
        <w:rPr>
          <w:rFonts w:ascii="Times New Roman" w:eastAsia="Times New Roman" w:hAnsi="Times New Roman" w:cs="Times New Roman"/>
          <w:sz w:val="24"/>
          <w:szCs w:val="24"/>
          <w:lang w:eastAsia="es-AR"/>
        </w:rPr>
        <w:t xml:space="preserve">Dichas consideraciones resultan de aplicación al caso y obstan, por ende, al reconocimiento del mejor derecho invocado por Juan Martín </w:t>
      </w:r>
      <w:proofErr w:type="spellStart"/>
      <w:r w:rsidRPr="005A0549">
        <w:rPr>
          <w:rFonts w:ascii="Times New Roman" w:eastAsia="Times New Roman" w:hAnsi="Times New Roman" w:cs="Times New Roman"/>
          <w:sz w:val="24"/>
          <w:szCs w:val="24"/>
          <w:lang w:eastAsia="es-AR"/>
        </w:rPr>
        <w:t>Lignini</w:t>
      </w:r>
      <w:proofErr w:type="spellEnd"/>
      <w:r w:rsidRPr="005A0549">
        <w:rPr>
          <w:rFonts w:ascii="Times New Roman" w:eastAsia="Times New Roman" w:hAnsi="Times New Roman" w:cs="Times New Roman"/>
          <w:sz w:val="24"/>
          <w:szCs w:val="24"/>
          <w:lang w:eastAsia="es-AR"/>
        </w:rPr>
        <w:t xml:space="preserve"> (v. </w:t>
      </w:r>
      <w:proofErr w:type="spellStart"/>
      <w:r w:rsidRPr="005A0549">
        <w:rPr>
          <w:rFonts w:ascii="Times New Roman" w:eastAsia="Times New Roman" w:hAnsi="Times New Roman" w:cs="Times New Roman"/>
          <w:sz w:val="24"/>
          <w:szCs w:val="24"/>
          <w:lang w:eastAsia="es-AR"/>
        </w:rPr>
        <w:t>CNCom</w:t>
      </w:r>
      <w:proofErr w:type="spellEnd"/>
      <w:r w:rsidRPr="005A0549">
        <w:rPr>
          <w:rFonts w:ascii="Times New Roman" w:eastAsia="Times New Roman" w:hAnsi="Times New Roman" w:cs="Times New Roman"/>
          <w:sz w:val="24"/>
          <w:szCs w:val="24"/>
          <w:lang w:eastAsia="es-AR"/>
        </w:rPr>
        <w:t xml:space="preserve">. Sala E, "Cooperativa de </w:t>
      </w:r>
      <w:proofErr w:type="spellStart"/>
      <w:r w:rsidRPr="005A0549">
        <w:rPr>
          <w:rFonts w:ascii="Times New Roman" w:eastAsia="Times New Roman" w:hAnsi="Times New Roman" w:cs="Times New Roman"/>
          <w:sz w:val="24"/>
          <w:szCs w:val="24"/>
          <w:lang w:eastAsia="es-AR"/>
        </w:rPr>
        <w:t>Viv</w:t>
      </w:r>
      <w:proofErr w:type="spellEnd"/>
      <w:r w:rsidRPr="005A0549">
        <w:rPr>
          <w:rFonts w:ascii="Times New Roman" w:eastAsia="Times New Roman" w:hAnsi="Times New Roman" w:cs="Times New Roman"/>
          <w:sz w:val="24"/>
          <w:szCs w:val="24"/>
          <w:lang w:eastAsia="es-AR"/>
        </w:rPr>
        <w:t xml:space="preserve">. </w:t>
      </w:r>
      <w:proofErr w:type="spellStart"/>
      <w:r w:rsidRPr="005A0549">
        <w:rPr>
          <w:rFonts w:ascii="Times New Roman" w:eastAsia="Times New Roman" w:hAnsi="Times New Roman" w:cs="Times New Roman"/>
          <w:sz w:val="24"/>
          <w:szCs w:val="24"/>
          <w:lang w:eastAsia="es-AR"/>
        </w:rPr>
        <w:t>Créd</w:t>
      </w:r>
      <w:proofErr w:type="spellEnd"/>
      <w:r w:rsidRPr="005A0549">
        <w:rPr>
          <w:rFonts w:ascii="Times New Roman" w:eastAsia="Times New Roman" w:hAnsi="Times New Roman" w:cs="Times New Roman"/>
          <w:sz w:val="24"/>
          <w:szCs w:val="24"/>
          <w:lang w:eastAsia="es-AR"/>
        </w:rPr>
        <w:t xml:space="preserve">. </w:t>
      </w:r>
      <w:proofErr w:type="gramStart"/>
      <w:r w:rsidRPr="005A0549">
        <w:rPr>
          <w:rFonts w:ascii="Times New Roman" w:eastAsia="Times New Roman" w:hAnsi="Times New Roman" w:cs="Times New Roman"/>
          <w:sz w:val="24"/>
          <w:szCs w:val="24"/>
          <w:lang w:eastAsia="es-AR"/>
        </w:rPr>
        <w:t>y</w:t>
      </w:r>
      <w:proofErr w:type="gramEnd"/>
      <w:r w:rsidRPr="005A0549">
        <w:rPr>
          <w:rFonts w:ascii="Times New Roman" w:eastAsia="Times New Roman" w:hAnsi="Times New Roman" w:cs="Times New Roman"/>
          <w:sz w:val="24"/>
          <w:szCs w:val="24"/>
          <w:lang w:eastAsia="es-AR"/>
        </w:rPr>
        <w:t xml:space="preserve"> </w:t>
      </w:r>
      <w:proofErr w:type="spellStart"/>
      <w:r w:rsidRPr="005A0549">
        <w:rPr>
          <w:rFonts w:ascii="Times New Roman" w:eastAsia="Times New Roman" w:hAnsi="Times New Roman" w:cs="Times New Roman"/>
          <w:sz w:val="24"/>
          <w:szCs w:val="24"/>
          <w:lang w:eastAsia="es-AR"/>
        </w:rPr>
        <w:t>Cons</w:t>
      </w:r>
      <w:proofErr w:type="spellEnd"/>
      <w:r w:rsidRPr="005A0549">
        <w:rPr>
          <w:rFonts w:ascii="Times New Roman" w:eastAsia="Times New Roman" w:hAnsi="Times New Roman" w:cs="Times New Roman"/>
          <w:sz w:val="24"/>
          <w:szCs w:val="24"/>
          <w:lang w:eastAsia="es-AR"/>
        </w:rPr>
        <w:t xml:space="preserve">. Dinámica Ltda. c/ Cooperativa de </w:t>
      </w:r>
      <w:proofErr w:type="spellStart"/>
      <w:r w:rsidRPr="005A0549">
        <w:rPr>
          <w:rFonts w:ascii="Times New Roman" w:eastAsia="Times New Roman" w:hAnsi="Times New Roman" w:cs="Times New Roman"/>
          <w:sz w:val="24"/>
          <w:szCs w:val="24"/>
          <w:lang w:eastAsia="es-AR"/>
        </w:rPr>
        <w:t>Viv</w:t>
      </w:r>
      <w:proofErr w:type="spellEnd"/>
      <w:r w:rsidRPr="005A0549">
        <w:rPr>
          <w:rFonts w:ascii="Times New Roman" w:eastAsia="Times New Roman" w:hAnsi="Times New Roman" w:cs="Times New Roman"/>
          <w:sz w:val="24"/>
          <w:szCs w:val="24"/>
          <w:lang w:eastAsia="es-AR"/>
        </w:rPr>
        <w:t xml:space="preserve">. </w:t>
      </w:r>
      <w:proofErr w:type="spellStart"/>
      <w:r w:rsidRPr="005A0549">
        <w:rPr>
          <w:rFonts w:ascii="Times New Roman" w:eastAsia="Times New Roman" w:hAnsi="Times New Roman" w:cs="Times New Roman"/>
          <w:sz w:val="24"/>
          <w:szCs w:val="24"/>
          <w:lang w:eastAsia="es-AR"/>
        </w:rPr>
        <w:t>Créd</w:t>
      </w:r>
      <w:proofErr w:type="spellEnd"/>
      <w:r w:rsidRPr="005A0549">
        <w:rPr>
          <w:rFonts w:ascii="Times New Roman" w:eastAsia="Times New Roman" w:hAnsi="Times New Roman" w:cs="Times New Roman"/>
          <w:sz w:val="24"/>
          <w:szCs w:val="24"/>
          <w:lang w:eastAsia="es-AR"/>
        </w:rPr>
        <w:t xml:space="preserve">. </w:t>
      </w:r>
      <w:proofErr w:type="gramStart"/>
      <w:r w:rsidRPr="005A0549">
        <w:rPr>
          <w:rFonts w:ascii="Times New Roman" w:eastAsia="Times New Roman" w:hAnsi="Times New Roman" w:cs="Times New Roman"/>
          <w:sz w:val="24"/>
          <w:szCs w:val="24"/>
          <w:lang w:eastAsia="es-AR"/>
        </w:rPr>
        <w:t>y</w:t>
      </w:r>
      <w:proofErr w:type="gramEnd"/>
      <w:r w:rsidRPr="005A0549">
        <w:rPr>
          <w:rFonts w:ascii="Times New Roman" w:eastAsia="Times New Roman" w:hAnsi="Times New Roman" w:cs="Times New Roman"/>
          <w:sz w:val="24"/>
          <w:szCs w:val="24"/>
          <w:lang w:eastAsia="es-AR"/>
        </w:rPr>
        <w:t xml:space="preserve"> </w:t>
      </w:r>
      <w:proofErr w:type="spellStart"/>
      <w:r w:rsidRPr="005A0549">
        <w:rPr>
          <w:rFonts w:ascii="Times New Roman" w:eastAsia="Times New Roman" w:hAnsi="Times New Roman" w:cs="Times New Roman"/>
          <w:sz w:val="24"/>
          <w:szCs w:val="24"/>
          <w:lang w:eastAsia="es-AR"/>
        </w:rPr>
        <w:t>Cons</w:t>
      </w:r>
      <w:proofErr w:type="spellEnd"/>
      <w:r w:rsidRPr="005A0549">
        <w:rPr>
          <w:rFonts w:ascii="Times New Roman" w:eastAsia="Times New Roman" w:hAnsi="Times New Roman" w:cs="Times New Roman"/>
          <w:sz w:val="24"/>
          <w:szCs w:val="24"/>
          <w:lang w:eastAsia="es-AR"/>
        </w:rPr>
        <w:t xml:space="preserve">. </w:t>
      </w:r>
      <w:proofErr w:type="spellStart"/>
      <w:r w:rsidRPr="005A0549">
        <w:rPr>
          <w:rFonts w:ascii="Times New Roman" w:eastAsia="Times New Roman" w:hAnsi="Times New Roman" w:cs="Times New Roman"/>
          <w:sz w:val="24"/>
          <w:szCs w:val="24"/>
          <w:lang w:eastAsia="es-AR"/>
        </w:rPr>
        <w:t>Lider</w:t>
      </w:r>
      <w:proofErr w:type="spellEnd"/>
      <w:r w:rsidRPr="005A0549">
        <w:rPr>
          <w:rFonts w:ascii="Times New Roman" w:eastAsia="Times New Roman" w:hAnsi="Times New Roman" w:cs="Times New Roman"/>
          <w:sz w:val="24"/>
          <w:szCs w:val="24"/>
          <w:lang w:eastAsia="es-AR"/>
        </w:rPr>
        <w:t xml:space="preserve"> Ltda. </w:t>
      </w:r>
      <w:proofErr w:type="gramStart"/>
      <w:r w:rsidRPr="005A0549">
        <w:rPr>
          <w:rFonts w:ascii="Times New Roman" w:eastAsia="Times New Roman" w:hAnsi="Times New Roman" w:cs="Times New Roman"/>
          <w:sz w:val="24"/>
          <w:szCs w:val="24"/>
          <w:lang w:eastAsia="es-AR"/>
        </w:rPr>
        <w:t>y</w:t>
      </w:r>
      <w:proofErr w:type="gramEnd"/>
      <w:r w:rsidRPr="005A0549">
        <w:rPr>
          <w:rFonts w:ascii="Times New Roman" w:eastAsia="Times New Roman" w:hAnsi="Times New Roman" w:cs="Times New Roman"/>
          <w:sz w:val="24"/>
          <w:szCs w:val="24"/>
          <w:lang w:eastAsia="es-AR"/>
        </w:rPr>
        <w:t xml:space="preserve"> otros s/ejecutivo", de 14.3.08; íd. Sala B, "América Latina Logística Mesopotámica SA s/tercería (en autos: Natal Rubén c/ González Ernesto s/</w:t>
      </w:r>
      <w:proofErr w:type="spellStart"/>
      <w:r w:rsidRPr="005A0549">
        <w:rPr>
          <w:rFonts w:ascii="Times New Roman" w:eastAsia="Times New Roman" w:hAnsi="Times New Roman" w:cs="Times New Roman"/>
          <w:sz w:val="24"/>
          <w:szCs w:val="24"/>
          <w:lang w:eastAsia="es-AR"/>
        </w:rPr>
        <w:t>ejec</w:t>
      </w:r>
      <w:proofErr w:type="spellEnd"/>
      <w:r w:rsidRPr="005A0549">
        <w:rPr>
          <w:rFonts w:ascii="Times New Roman" w:eastAsia="Times New Roman" w:hAnsi="Times New Roman" w:cs="Times New Roman"/>
          <w:sz w:val="24"/>
          <w:szCs w:val="24"/>
          <w:lang w:eastAsia="es-AR"/>
        </w:rPr>
        <w:t>.)", de 26.8.08).</w:t>
      </w:r>
    </w:p>
    <w:p w:rsidR="00C429EB" w:rsidRPr="005A0549" w:rsidRDefault="00C429EB" w:rsidP="00C429E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5A0549">
        <w:rPr>
          <w:rFonts w:ascii="Times New Roman" w:eastAsia="Times New Roman" w:hAnsi="Times New Roman" w:cs="Times New Roman"/>
          <w:sz w:val="24"/>
          <w:szCs w:val="24"/>
          <w:lang w:eastAsia="es-AR"/>
        </w:rPr>
        <w:t>Entonces, el boleto de compraventa copiado a fs. 23/27, la posesión y aunque se admitiera que el recurrente cumplió con la total integración del precio en los términos pactados, resultan inidóneos para sustentar el pedido de levantamiento de embargo, siendo también insuficiente la buena fe del peticionario frente al principio contemplado por el art. 2505 citado.</w:t>
      </w:r>
    </w:p>
    <w:p w:rsidR="00C429EB" w:rsidRPr="005A0549" w:rsidRDefault="00C429EB" w:rsidP="00C429E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5A0549">
        <w:rPr>
          <w:rFonts w:ascii="Times New Roman" w:eastAsia="Times New Roman" w:hAnsi="Times New Roman" w:cs="Times New Roman"/>
          <w:sz w:val="24"/>
          <w:szCs w:val="24"/>
          <w:lang w:eastAsia="es-AR"/>
        </w:rPr>
        <w:t xml:space="preserve">Por otro lado, y teniendo en consideración que el recurrente fundó su derecho sustancialmente en la disposición del </w:t>
      </w:r>
      <w:proofErr w:type="spellStart"/>
      <w:r w:rsidRPr="005A0549">
        <w:rPr>
          <w:rFonts w:ascii="Times New Roman" w:eastAsia="Times New Roman" w:hAnsi="Times New Roman" w:cs="Times New Roman"/>
          <w:sz w:val="24"/>
          <w:szCs w:val="24"/>
          <w:lang w:eastAsia="es-AR"/>
        </w:rPr>
        <w:t>CCiv</w:t>
      </w:r>
      <w:proofErr w:type="spellEnd"/>
      <w:r w:rsidRPr="005A0549">
        <w:rPr>
          <w:rFonts w:ascii="Times New Roman" w:eastAsia="Times New Roman" w:hAnsi="Times New Roman" w:cs="Times New Roman"/>
          <w:sz w:val="24"/>
          <w:szCs w:val="24"/>
          <w:lang w:eastAsia="es-AR"/>
        </w:rPr>
        <w:t xml:space="preserve">. 1185 bis, cabe también referir que esa norma no resulta de aplicación fuera del ámbito de un proceso concursal (cfr. </w:t>
      </w:r>
      <w:proofErr w:type="spellStart"/>
      <w:r w:rsidRPr="005A0549">
        <w:rPr>
          <w:rFonts w:ascii="Times New Roman" w:eastAsia="Times New Roman" w:hAnsi="Times New Roman" w:cs="Times New Roman"/>
          <w:sz w:val="24"/>
          <w:szCs w:val="24"/>
          <w:lang w:eastAsia="es-AR"/>
        </w:rPr>
        <w:t>CNCom</w:t>
      </w:r>
      <w:proofErr w:type="spellEnd"/>
      <w:r w:rsidRPr="005A0549">
        <w:rPr>
          <w:rFonts w:ascii="Times New Roman" w:eastAsia="Times New Roman" w:hAnsi="Times New Roman" w:cs="Times New Roman"/>
          <w:sz w:val="24"/>
          <w:szCs w:val="24"/>
          <w:lang w:eastAsia="es-AR"/>
        </w:rPr>
        <w:t xml:space="preserve">. Sala E, "Ruiz Moreno, Ernesto s/tercería en autos: </w:t>
      </w:r>
      <w:proofErr w:type="spellStart"/>
      <w:r w:rsidRPr="005A0549">
        <w:rPr>
          <w:rFonts w:ascii="Times New Roman" w:eastAsia="Times New Roman" w:hAnsi="Times New Roman" w:cs="Times New Roman"/>
          <w:sz w:val="24"/>
          <w:szCs w:val="24"/>
          <w:lang w:eastAsia="es-AR"/>
        </w:rPr>
        <w:t>Diners</w:t>
      </w:r>
      <w:proofErr w:type="spellEnd"/>
      <w:r w:rsidRPr="005A0549">
        <w:rPr>
          <w:rFonts w:ascii="Times New Roman" w:eastAsia="Times New Roman" w:hAnsi="Times New Roman" w:cs="Times New Roman"/>
          <w:sz w:val="24"/>
          <w:szCs w:val="24"/>
          <w:lang w:eastAsia="es-AR"/>
        </w:rPr>
        <w:t xml:space="preserve"> Club Argentina c/ </w:t>
      </w:r>
      <w:proofErr w:type="spellStart"/>
      <w:r w:rsidRPr="005A0549">
        <w:rPr>
          <w:rFonts w:ascii="Times New Roman" w:eastAsia="Times New Roman" w:hAnsi="Times New Roman" w:cs="Times New Roman"/>
          <w:sz w:val="24"/>
          <w:szCs w:val="24"/>
          <w:lang w:eastAsia="es-AR"/>
        </w:rPr>
        <w:t>Coccio</w:t>
      </w:r>
      <w:proofErr w:type="spellEnd"/>
      <w:r w:rsidRPr="005A0549">
        <w:rPr>
          <w:rFonts w:ascii="Times New Roman" w:eastAsia="Times New Roman" w:hAnsi="Times New Roman" w:cs="Times New Roman"/>
          <w:sz w:val="24"/>
          <w:szCs w:val="24"/>
          <w:lang w:eastAsia="es-AR"/>
        </w:rPr>
        <w:t>, Raúl Alberto y otros s/sumario", de 3.7.97; íd. Sala B, "</w:t>
      </w:r>
      <w:proofErr w:type="spellStart"/>
      <w:r w:rsidRPr="005A0549">
        <w:rPr>
          <w:rFonts w:ascii="Times New Roman" w:eastAsia="Times New Roman" w:hAnsi="Times New Roman" w:cs="Times New Roman"/>
          <w:sz w:val="24"/>
          <w:szCs w:val="24"/>
          <w:lang w:eastAsia="es-AR"/>
        </w:rPr>
        <w:t>Maggio</w:t>
      </w:r>
      <w:proofErr w:type="spellEnd"/>
      <w:r w:rsidRPr="005A0549">
        <w:rPr>
          <w:rFonts w:ascii="Times New Roman" w:eastAsia="Times New Roman" w:hAnsi="Times New Roman" w:cs="Times New Roman"/>
          <w:sz w:val="24"/>
          <w:szCs w:val="24"/>
          <w:lang w:eastAsia="es-AR"/>
        </w:rPr>
        <w:t xml:space="preserve"> Lucas Ariel c/Cardoso Juan Pedro s/ejecutivo s/tercería de mejor derecho promovida por Cuervo Ariel Hugo", de 22.5.09).</w:t>
      </w:r>
    </w:p>
    <w:p w:rsidR="00C429EB" w:rsidRPr="005A0549" w:rsidRDefault="00C429EB" w:rsidP="00C429E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5A0549">
        <w:rPr>
          <w:rFonts w:ascii="Times New Roman" w:eastAsia="Times New Roman" w:hAnsi="Times New Roman" w:cs="Times New Roman"/>
          <w:sz w:val="24"/>
          <w:szCs w:val="24"/>
          <w:lang w:eastAsia="es-AR"/>
        </w:rPr>
        <w:t xml:space="preserve">En efecto, la preferencia fundada en el </w:t>
      </w:r>
      <w:proofErr w:type="spellStart"/>
      <w:r w:rsidRPr="005A0549">
        <w:rPr>
          <w:rFonts w:ascii="Times New Roman" w:eastAsia="Times New Roman" w:hAnsi="Times New Roman" w:cs="Times New Roman"/>
          <w:sz w:val="24"/>
          <w:szCs w:val="24"/>
          <w:lang w:eastAsia="es-AR"/>
        </w:rPr>
        <w:t>CCiv</w:t>
      </w:r>
      <w:proofErr w:type="spellEnd"/>
      <w:r w:rsidRPr="005A0549">
        <w:rPr>
          <w:rFonts w:ascii="Times New Roman" w:eastAsia="Times New Roman" w:hAnsi="Times New Roman" w:cs="Times New Roman"/>
          <w:sz w:val="24"/>
          <w:szCs w:val="24"/>
          <w:lang w:eastAsia="es-AR"/>
        </w:rPr>
        <w:t xml:space="preserve">. 1185 bis para supuestos concursales es un régimen de excepción, en el que operan los principios de oficiosidad, universalidad, colectividad e igualdad y juega la par </w:t>
      </w:r>
      <w:proofErr w:type="spellStart"/>
      <w:r w:rsidRPr="005A0549">
        <w:rPr>
          <w:rFonts w:ascii="Times New Roman" w:eastAsia="Times New Roman" w:hAnsi="Times New Roman" w:cs="Times New Roman"/>
          <w:sz w:val="24"/>
          <w:szCs w:val="24"/>
          <w:lang w:eastAsia="es-AR"/>
        </w:rPr>
        <w:t>condictio</w:t>
      </w:r>
      <w:proofErr w:type="spellEnd"/>
      <w:r w:rsidRPr="005A0549">
        <w:rPr>
          <w:rFonts w:ascii="Times New Roman" w:eastAsia="Times New Roman" w:hAnsi="Times New Roman" w:cs="Times New Roman"/>
          <w:sz w:val="24"/>
          <w:szCs w:val="24"/>
          <w:lang w:eastAsia="es-AR"/>
        </w:rPr>
        <w:t xml:space="preserve"> </w:t>
      </w:r>
      <w:proofErr w:type="spellStart"/>
      <w:r w:rsidRPr="005A0549">
        <w:rPr>
          <w:rFonts w:ascii="Times New Roman" w:eastAsia="Times New Roman" w:hAnsi="Times New Roman" w:cs="Times New Roman"/>
          <w:sz w:val="24"/>
          <w:szCs w:val="24"/>
          <w:lang w:eastAsia="es-AR"/>
        </w:rPr>
        <w:t>creditorum</w:t>
      </w:r>
      <w:proofErr w:type="spellEnd"/>
      <w:r w:rsidRPr="005A0549">
        <w:rPr>
          <w:rFonts w:ascii="Times New Roman" w:eastAsia="Times New Roman" w:hAnsi="Times New Roman" w:cs="Times New Roman"/>
          <w:sz w:val="24"/>
          <w:szCs w:val="24"/>
          <w:lang w:eastAsia="es-AR"/>
        </w:rPr>
        <w:t>, por lo que no puede aplicarse analógicamente a un conflicto individual, en el que las preferencias se generan por la adquisición del derecho conforme al prior in tempore prior in iure.</w:t>
      </w:r>
    </w:p>
    <w:p w:rsidR="00C429EB" w:rsidRPr="005A0549" w:rsidRDefault="00C429EB" w:rsidP="00C429E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5A0549">
        <w:rPr>
          <w:rFonts w:ascii="Times New Roman" w:eastAsia="Times New Roman" w:hAnsi="Times New Roman" w:cs="Times New Roman"/>
          <w:sz w:val="24"/>
          <w:szCs w:val="24"/>
          <w:lang w:eastAsia="es-AR"/>
        </w:rPr>
        <w:t xml:space="preserve">Además, la aplicación de tal principio se contrapone con otros que regulan los derechos individuales, como es el </w:t>
      </w:r>
      <w:proofErr w:type="spellStart"/>
      <w:r w:rsidRPr="005A0549">
        <w:rPr>
          <w:rFonts w:ascii="Times New Roman" w:eastAsia="Times New Roman" w:hAnsi="Times New Roman" w:cs="Times New Roman"/>
          <w:sz w:val="24"/>
          <w:szCs w:val="24"/>
          <w:lang w:eastAsia="es-AR"/>
        </w:rPr>
        <w:t>Cciv</w:t>
      </w:r>
      <w:proofErr w:type="spellEnd"/>
      <w:r w:rsidRPr="005A0549">
        <w:rPr>
          <w:rFonts w:ascii="Times New Roman" w:eastAsia="Times New Roman" w:hAnsi="Times New Roman" w:cs="Times New Roman"/>
          <w:sz w:val="24"/>
          <w:szCs w:val="24"/>
          <w:lang w:eastAsia="es-AR"/>
        </w:rPr>
        <w:t>. 2505, que somete la adquisición o transmisión de derechos reales sobre inmuebles a la inscripción en los registros individuales.</w:t>
      </w:r>
    </w:p>
    <w:p w:rsidR="00C429EB" w:rsidRPr="005A0549" w:rsidRDefault="00C429EB" w:rsidP="00C429E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5A0549">
        <w:rPr>
          <w:rFonts w:ascii="Times New Roman" w:eastAsia="Times New Roman" w:hAnsi="Times New Roman" w:cs="Times New Roman"/>
          <w:sz w:val="24"/>
          <w:szCs w:val="24"/>
          <w:lang w:eastAsia="es-AR"/>
        </w:rPr>
        <w:t>Es decir, el adquirente que tiene la posesión y ha abonado la totalidad del precio, no es titular de un mejor derecho que el acreedor embargante. La inscripción registral —al margen de su carácter constitutivo— del derecho genera efectos erga omnes que no pueden ser desconocidos a partir de ella. Adoptar una postura contraria implicaría alterar la estructura jurídica sobre la transmisión de dominio (</w:t>
      </w:r>
      <w:proofErr w:type="spellStart"/>
      <w:r w:rsidRPr="005A0549">
        <w:rPr>
          <w:rFonts w:ascii="Times New Roman" w:eastAsia="Times New Roman" w:hAnsi="Times New Roman" w:cs="Times New Roman"/>
          <w:sz w:val="24"/>
          <w:szCs w:val="24"/>
          <w:lang w:eastAsia="es-AR"/>
        </w:rPr>
        <w:t>arg</w:t>
      </w:r>
      <w:proofErr w:type="spellEnd"/>
      <w:r w:rsidRPr="005A0549">
        <w:rPr>
          <w:rFonts w:ascii="Times New Roman" w:eastAsia="Times New Roman" w:hAnsi="Times New Roman" w:cs="Times New Roman"/>
          <w:sz w:val="24"/>
          <w:szCs w:val="24"/>
          <w:lang w:eastAsia="es-AR"/>
        </w:rPr>
        <w:t xml:space="preserve">. arts. 577, 1184 inc. 1º, 1105, 2505, 2524, 2601, 2602, 2603 Y 2609 cciv). Repárese que el art. 2505 </w:t>
      </w:r>
      <w:proofErr w:type="spellStart"/>
      <w:r w:rsidRPr="005A0549">
        <w:rPr>
          <w:rFonts w:ascii="Times New Roman" w:eastAsia="Times New Roman" w:hAnsi="Times New Roman" w:cs="Times New Roman"/>
          <w:sz w:val="24"/>
          <w:szCs w:val="24"/>
          <w:lang w:eastAsia="es-AR"/>
        </w:rPr>
        <w:t>CCiv</w:t>
      </w:r>
      <w:proofErr w:type="spellEnd"/>
      <w:r w:rsidRPr="005A0549">
        <w:rPr>
          <w:rFonts w:ascii="Times New Roman" w:eastAsia="Times New Roman" w:hAnsi="Times New Roman" w:cs="Times New Roman"/>
          <w:sz w:val="24"/>
          <w:szCs w:val="24"/>
          <w:lang w:eastAsia="es-AR"/>
        </w:rPr>
        <w:t xml:space="preserve">. </w:t>
      </w:r>
      <w:proofErr w:type="gramStart"/>
      <w:r w:rsidRPr="005A0549">
        <w:rPr>
          <w:rFonts w:ascii="Times New Roman" w:eastAsia="Times New Roman" w:hAnsi="Times New Roman" w:cs="Times New Roman"/>
          <w:sz w:val="24"/>
          <w:szCs w:val="24"/>
          <w:lang w:eastAsia="es-AR"/>
        </w:rPr>
        <w:t>establece</w:t>
      </w:r>
      <w:proofErr w:type="gramEnd"/>
      <w:r w:rsidRPr="005A0549">
        <w:rPr>
          <w:rFonts w:ascii="Times New Roman" w:eastAsia="Times New Roman" w:hAnsi="Times New Roman" w:cs="Times New Roman"/>
          <w:sz w:val="24"/>
          <w:szCs w:val="24"/>
          <w:lang w:eastAsia="es-AR"/>
        </w:rPr>
        <w:t xml:space="preserve"> la </w:t>
      </w:r>
      <w:proofErr w:type="spellStart"/>
      <w:r w:rsidRPr="005A0549">
        <w:rPr>
          <w:rFonts w:ascii="Times New Roman" w:eastAsia="Times New Roman" w:hAnsi="Times New Roman" w:cs="Times New Roman"/>
          <w:sz w:val="24"/>
          <w:szCs w:val="24"/>
          <w:lang w:eastAsia="es-AR"/>
        </w:rPr>
        <w:t>inoponibilidad</w:t>
      </w:r>
      <w:proofErr w:type="spellEnd"/>
      <w:r w:rsidRPr="005A0549">
        <w:rPr>
          <w:rFonts w:ascii="Times New Roman" w:eastAsia="Times New Roman" w:hAnsi="Times New Roman" w:cs="Times New Roman"/>
          <w:sz w:val="24"/>
          <w:szCs w:val="24"/>
          <w:lang w:eastAsia="es-AR"/>
        </w:rPr>
        <w:t xml:space="preserve"> del título de adquisición o transmisión de derechos reales respecto de terceros interesados, o al menos respecto de terceros registrales, cuando este título no ha </w:t>
      </w:r>
      <w:r w:rsidRPr="005A0549">
        <w:rPr>
          <w:rFonts w:ascii="Times New Roman" w:eastAsia="Times New Roman" w:hAnsi="Times New Roman" w:cs="Times New Roman"/>
          <w:sz w:val="24"/>
          <w:szCs w:val="24"/>
          <w:lang w:eastAsia="es-AR"/>
        </w:rPr>
        <w:lastRenderedPageBreak/>
        <w:t xml:space="preserve">sido registrado (complementan esta norma los arts. 2 y 22 de la ley 17.801; v. </w:t>
      </w:r>
      <w:proofErr w:type="spellStart"/>
      <w:r w:rsidRPr="005A0549">
        <w:rPr>
          <w:rFonts w:ascii="Times New Roman" w:eastAsia="Times New Roman" w:hAnsi="Times New Roman" w:cs="Times New Roman"/>
          <w:sz w:val="24"/>
          <w:szCs w:val="24"/>
          <w:lang w:eastAsia="es-AR"/>
        </w:rPr>
        <w:t>CNCom</w:t>
      </w:r>
      <w:proofErr w:type="spellEnd"/>
      <w:r w:rsidRPr="005A0549">
        <w:rPr>
          <w:rFonts w:ascii="Times New Roman" w:eastAsia="Times New Roman" w:hAnsi="Times New Roman" w:cs="Times New Roman"/>
          <w:sz w:val="24"/>
          <w:szCs w:val="24"/>
          <w:lang w:eastAsia="es-AR"/>
        </w:rPr>
        <w:t>., Sala B, en "</w:t>
      </w:r>
      <w:proofErr w:type="spellStart"/>
      <w:r w:rsidRPr="005A0549">
        <w:rPr>
          <w:rFonts w:ascii="Times New Roman" w:eastAsia="Times New Roman" w:hAnsi="Times New Roman" w:cs="Times New Roman"/>
          <w:sz w:val="24"/>
          <w:szCs w:val="24"/>
          <w:lang w:eastAsia="es-AR"/>
        </w:rPr>
        <w:t>Maggio</w:t>
      </w:r>
      <w:proofErr w:type="spellEnd"/>
      <w:r w:rsidRPr="005A0549">
        <w:rPr>
          <w:rFonts w:ascii="Times New Roman" w:eastAsia="Times New Roman" w:hAnsi="Times New Roman" w:cs="Times New Roman"/>
          <w:sz w:val="24"/>
          <w:szCs w:val="24"/>
          <w:lang w:eastAsia="es-AR"/>
        </w:rPr>
        <w:t xml:space="preserve"> Lucas Ariel c/Cardoso Juan Pedro s/</w:t>
      </w:r>
      <w:proofErr w:type="spellStart"/>
      <w:r w:rsidRPr="005A0549">
        <w:rPr>
          <w:rFonts w:ascii="Times New Roman" w:eastAsia="Times New Roman" w:hAnsi="Times New Roman" w:cs="Times New Roman"/>
          <w:sz w:val="24"/>
          <w:szCs w:val="24"/>
          <w:lang w:eastAsia="es-AR"/>
        </w:rPr>
        <w:t>ejec</w:t>
      </w:r>
      <w:proofErr w:type="spellEnd"/>
      <w:r w:rsidRPr="005A0549">
        <w:rPr>
          <w:rFonts w:ascii="Times New Roman" w:eastAsia="Times New Roman" w:hAnsi="Times New Roman" w:cs="Times New Roman"/>
          <w:sz w:val="24"/>
          <w:szCs w:val="24"/>
          <w:lang w:eastAsia="es-AR"/>
        </w:rPr>
        <w:t>. s/tercería de mejor derecho promovido por Cuervo Ariel Hugo", de 22/05/09).</w:t>
      </w:r>
    </w:p>
    <w:p w:rsidR="00C429EB" w:rsidRPr="005A0549" w:rsidRDefault="00C429EB" w:rsidP="00C429E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5A0549">
        <w:rPr>
          <w:rFonts w:ascii="Times New Roman" w:eastAsia="Times New Roman" w:hAnsi="Times New Roman" w:cs="Times New Roman"/>
          <w:sz w:val="24"/>
          <w:szCs w:val="24"/>
          <w:lang w:eastAsia="es-AR"/>
        </w:rPr>
        <w:t xml:space="preserve">Lo expuesto es suficiente para rechazar los agravios. </w:t>
      </w:r>
    </w:p>
    <w:p w:rsidR="00C429EB" w:rsidRPr="005A0549" w:rsidRDefault="00C429EB" w:rsidP="00C429E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5A0549">
        <w:rPr>
          <w:rFonts w:ascii="Times New Roman" w:eastAsia="Times New Roman" w:hAnsi="Times New Roman" w:cs="Times New Roman"/>
          <w:sz w:val="24"/>
          <w:szCs w:val="24"/>
          <w:lang w:eastAsia="es-AR"/>
        </w:rPr>
        <w:t>3. Por ello, se resuelve: rechazar la pretensión recursiva y en consecuencia confirmar la resolución atacada con los alcances señalados; con costas de ambas instancias en el orden causado atento las particularidades de la cuestión y habida cuenta de tratarse de una materia en la cual tanto la jurisprudencia como la doctrina han asignado soluciones no siempre uniformes (</w:t>
      </w:r>
      <w:proofErr w:type="spellStart"/>
      <w:r w:rsidRPr="005A0549">
        <w:rPr>
          <w:rFonts w:ascii="Times New Roman" w:eastAsia="Times New Roman" w:hAnsi="Times New Roman" w:cs="Times New Roman"/>
          <w:sz w:val="24"/>
          <w:szCs w:val="24"/>
          <w:lang w:eastAsia="es-AR"/>
        </w:rPr>
        <w:t>Cpr</w:t>
      </w:r>
      <w:proofErr w:type="spellEnd"/>
      <w:r w:rsidRPr="005A0549">
        <w:rPr>
          <w:rFonts w:ascii="Times New Roman" w:eastAsia="Times New Roman" w:hAnsi="Times New Roman" w:cs="Times New Roman"/>
          <w:sz w:val="24"/>
          <w:szCs w:val="24"/>
          <w:lang w:eastAsia="es-AR"/>
        </w:rPr>
        <w:t>. 69).</w:t>
      </w:r>
    </w:p>
    <w:p w:rsidR="00C429EB" w:rsidRPr="005A0549" w:rsidRDefault="00C429EB" w:rsidP="00C429E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5A0549">
        <w:rPr>
          <w:rFonts w:ascii="Times New Roman" w:eastAsia="Times New Roman" w:hAnsi="Times New Roman" w:cs="Times New Roman"/>
          <w:sz w:val="24"/>
          <w:szCs w:val="24"/>
          <w:lang w:eastAsia="es-AR"/>
        </w:rPr>
        <w:t>Devuélvase sin más trámite, encomendándose al juez de la primera instancia proveer las diligencias ulteriores (</w:t>
      </w:r>
      <w:proofErr w:type="spellStart"/>
      <w:r w:rsidRPr="005A0549">
        <w:rPr>
          <w:rFonts w:ascii="Times New Roman" w:eastAsia="Times New Roman" w:hAnsi="Times New Roman" w:cs="Times New Roman"/>
          <w:sz w:val="24"/>
          <w:szCs w:val="24"/>
          <w:lang w:eastAsia="es-AR"/>
        </w:rPr>
        <w:t>Cpr</w:t>
      </w:r>
      <w:proofErr w:type="spellEnd"/>
      <w:r w:rsidRPr="005A0549">
        <w:rPr>
          <w:rFonts w:ascii="Times New Roman" w:eastAsia="Times New Roman" w:hAnsi="Times New Roman" w:cs="Times New Roman"/>
          <w:sz w:val="24"/>
          <w:szCs w:val="24"/>
          <w:lang w:eastAsia="es-AR"/>
        </w:rPr>
        <w:t xml:space="preserve">. 36:1) y las notificaciones pertinentes. — Miguel F. </w:t>
      </w:r>
      <w:proofErr w:type="spellStart"/>
      <w:r w:rsidRPr="005A0549">
        <w:rPr>
          <w:rFonts w:ascii="Times New Roman" w:eastAsia="Times New Roman" w:hAnsi="Times New Roman" w:cs="Times New Roman"/>
          <w:sz w:val="24"/>
          <w:szCs w:val="24"/>
          <w:lang w:eastAsia="es-AR"/>
        </w:rPr>
        <w:t>Bargalló</w:t>
      </w:r>
      <w:proofErr w:type="spellEnd"/>
      <w:r w:rsidRPr="005A0549">
        <w:rPr>
          <w:rFonts w:ascii="Times New Roman" w:eastAsia="Times New Roman" w:hAnsi="Times New Roman" w:cs="Times New Roman"/>
          <w:sz w:val="24"/>
          <w:szCs w:val="24"/>
          <w:lang w:eastAsia="es-AR"/>
        </w:rPr>
        <w:t xml:space="preserve">. — </w:t>
      </w:r>
      <w:proofErr w:type="spellStart"/>
      <w:r w:rsidRPr="005A0549">
        <w:rPr>
          <w:rFonts w:ascii="Times New Roman" w:eastAsia="Times New Roman" w:hAnsi="Times New Roman" w:cs="Times New Roman"/>
          <w:sz w:val="24"/>
          <w:szCs w:val="24"/>
          <w:lang w:eastAsia="es-AR"/>
        </w:rPr>
        <w:t>Angel</w:t>
      </w:r>
      <w:proofErr w:type="spellEnd"/>
      <w:r w:rsidRPr="005A0549">
        <w:rPr>
          <w:rFonts w:ascii="Times New Roman" w:eastAsia="Times New Roman" w:hAnsi="Times New Roman" w:cs="Times New Roman"/>
          <w:sz w:val="24"/>
          <w:szCs w:val="24"/>
          <w:lang w:eastAsia="es-AR"/>
        </w:rPr>
        <w:t xml:space="preserve"> O. Sala</w:t>
      </w:r>
      <w:proofErr w:type="gramStart"/>
      <w:r w:rsidRPr="005A0549">
        <w:rPr>
          <w:rFonts w:ascii="Times New Roman" w:eastAsia="Times New Roman" w:hAnsi="Times New Roman" w:cs="Times New Roman"/>
          <w:sz w:val="24"/>
          <w:szCs w:val="24"/>
          <w:lang w:eastAsia="es-AR"/>
        </w:rPr>
        <w:t>.—</w:t>
      </w:r>
      <w:proofErr w:type="gramEnd"/>
      <w:r w:rsidRPr="005A0549">
        <w:rPr>
          <w:rFonts w:ascii="Times New Roman" w:eastAsia="Times New Roman" w:hAnsi="Times New Roman" w:cs="Times New Roman"/>
          <w:sz w:val="24"/>
          <w:szCs w:val="24"/>
          <w:lang w:eastAsia="es-AR"/>
        </w:rPr>
        <w:t xml:space="preserve"> </w:t>
      </w:r>
      <w:proofErr w:type="spellStart"/>
      <w:r w:rsidRPr="005A0549">
        <w:rPr>
          <w:rFonts w:ascii="Times New Roman" w:eastAsia="Times New Roman" w:hAnsi="Times New Roman" w:cs="Times New Roman"/>
          <w:sz w:val="24"/>
          <w:szCs w:val="24"/>
          <w:lang w:eastAsia="es-AR"/>
        </w:rPr>
        <w:t>Bindo</w:t>
      </w:r>
      <w:proofErr w:type="spellEnd"/>
      <w:r w:rsidRPr="005A0549">
        <w:rPr>
          <w:rFonts w:ascii="Times New Roman" w:eastAsia="Times New Roman" w:hAnsi="Times New Roman" w:cs="Times New Roman"/>
          <w:sz w:val="24"/>
          <w:szCs w:val="24"/>
          <w:lang w:eastAsia="es-AR"/>
        </w:rPr>
        <w:t xml:space="preserve"> B. </w:t>
      </w:r>
      <w:proofErr w:type="spellStart"/>
      <w:r w:rsidRPr="005A0549">
        <w:rPr>
          <w:rFonts w:ascii="Times New Roman" w:eastAsia="Times New Roman" w:hAnsi="Times New Roman" w:cs="Times New Roman"/>
          <w:sz w:val="24"/>
          <w:szCs w:val="24"/>
          <w:lang w:eastAsia="es-AR"/>
        </w:rPr>
        <w:t>Caviglione</w:t>
      </w:r>
      <w:proofErr w:type="spellEnd"/>
      <w:r w:rsidRPr="005A0549">
        <w:rPr>
          <w:rFonts w:ascii="Times New Roman" w:eastAsia="Times New Roman" w:hAnsi="Times New Roman" w:cs="Times New Roman"/>
          <w:sz w:val="24"/>
          <w:szCs w:val="24"/>
          <w:lang w:eastAsia="es-AR"/>
        </w:rPr>
        <w:t xml:space="preserve"> Fraga (en disidencia).</w:t>
      </w:r>
    </w:p>
    <w:p w:rsidR="00C429EB" w:rsidRPr="005A0549" w:rsidRDefault="00C429EB" w:rsidP="00C429E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5A0549">
        <w:rPr>
          <w:rFonts w:ascii="Times New Roman" w:eastAsia="Times New Roman" w:hAnsi="Times New Roman" w:cs="Times New Roman"/>
          <w:sz w:val="24"/>
          <w:szCs w:val="24"/>
          <w:lang w:eastAsia="es-AR"/>
        </w:rPr>
        <w:t xml:space="preserve">Disidencia del doctor </w:t>
      </w:r>
      <w:proofErr w:type="spellStart"/>
      <w:r w:rsidRPr="005A0549">
        <w:rPr>
          <w:rFonts w:ascii="Times New Roman" w:eastAsia="Times New Roman" w:hAnsi="Times New Roman" w:cs="Times New Roman"/>
          <w:sz w:val="24"/>
          <w:szCs w:val="24"/>
          <w:lang w:eastAsia="es-AR"/>
        </w:rPr>
        <w:t>Caviglione</w:t>
      </w:r>
      <w:proofErr w:type="spellEnd"/>
      <w:r w:rsidRPr="005A0549">
        <w:rPr>
          <w:rFonts w:ascii="Times New Roman" w:eastAsia="Times New Roman" w:hAnsi="Times New Roman" w:cs="Times New Roman"/>
          <w:sz w:val="24"/>
          <w:szCs w:val="24"/>
          <w:lang w:eastAsia="es-AR"/>
        </w:rPr>
        <w:t xml:space="preserve"> Fraga:</w:t>
      </w:r>
    </w:p>
    <w:p w:rsidR="00C429EB" w:rsidRPr="005A0549" w:rsidRDefault="00C429EB" w:rsidP="00C429E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5A0549">
        <w:rPr>
          <w:rFonts w:ascii="Times New Roman" w:eastAsia="Times New Roman" w:hAnsi="Times New Roman" w:cs="Times New Roman"/>
          <w:sz w:val="24"/>
          <w:szCs w:val="24"/>
          <w:lang w:eastAsia="es-AR"/>
        </w:rPr>
        <w:t>Discrepo con el criterio expuesto por mis distinguidos colegas de sala.</w:t>
      </w:r>
    </w:p>
    <w:p w:rsidR="00C429EB" w:rsidRPr="005A0549" w:rsidRDefault="00C429EB" w:rsidP="00C429E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5A0549">
        <w:rPr>
          <w:rFonts w:ascii="Times New Roman" w:eastAsia="Times New Roman" w:hAnsi="Times New Roman" w:cs="Times New Roman"/>
          <w:sz w:val="24"/>
          <w:szCs w:val="24"/>
          <w:lang w:eastAsia="es-AR"/>
        </w:rPr>
        <w:t xml:space="preserve">En efecto, no se encuentra controvertido que el tercerista adquirió de buena fe los "derechos" sobre el inmueble embargado mediante la firma de un boleto de compraventa —con firmas certificadas por escribano público—, el cual es de fecha anterior al embargo. En ese marco y siendo que la propiedad se encuentra ocupada con destino a vivienda, no se advierten obstáculos en cuanto a la aplicabilidad al caso del art. 1185 bis aludido. En efecto, la situación que se ha presentado en el sub lite puede considerarse implícitamente incluida en dicha norma, o, en todo caso, guarda sustancial analogía con el presupuesto de hecho que ella prevé (cfr. </w:t>
      </w:r>
      <w:proofErr w:type="spellStart"/>
      <w:r w:rsidRPr="005A0549">
        <w:rPr>
          <w:rFonts w:ascii="Times New Roman" w:eastAsia="Times New Roman" w:hAnsi="Times New Roman" w:cs="Times New Roman"/>
          <w:sz w:val="24"/>
          <w:szCs w:val="24"/>
          <w:lang w:eastAsia="es-AR"/>
        </w:rPr>
        <w:t>CCiv</w:t>
      </w:r>
      <w:proofErr w:type="spellEnd"/>
      <w:r w:rsidRPr="005A0549">
        <w:rPr>
          <w:rFonts w:ascii="Times New Roman" w:eastAsia="Times New Roman" w:hAnsi="Times New Roman" w:cs="Times New Roman"/>
          <w:sz w:val="24"/>
          <w:szCs w:val="24"/>
          <w:lang w:eastAsia="es-AR"/>
        </w:rPr>
        <w:t>. 16); la sola circunstancia de tratarse aquí de un acreedor singular no justifica un abandono de los principios éticos que inspiraron la sanción de aquel precepto, cuya preeminencia en el caso aparece con palmaria evidencia, en pos del mismo criterio tuitivo que gobierna esta materia (</w:t>
      </w:r>
      <w:proofErr w:type="spellStart"/>
      <w:r w:rsidRPr="005A0549">
        <w:rPr>
          <w:rFonts w:ascii="Times New Roman" w:eastAsia="Times New Roman" w:hAnsi="Times New Roman" w:cs="Times New Roman"/>
          <w:sz w:val="24"/>
          <w:szCs w:val="24"/>
          <w:lang w:eastAsia="es-AR"/>
        </w:rPr>
        <w:t>CNCom</w:t>
      </w:r>
      <w:proofErr w:type="spellEnd"/>
      <w:r w:rsidRPr="005A0549">
        <w:rPr>
          <w:rFonts w:ascii="Times New Roman" w:eastAsia="Times New Roman" w:hAnsi="Times New Roman" w:cs="Times New Roman"/>
          <w:sz w:val="24"/>
          <w:szCs w:val="24"/>
          <w:lang w:eastAsia="es-AR"/>
        </w:rPr>
        <w:t>. Sala C, "</w:t>
      </w:r>
      <w:proofErr w:type="spellStart"/>
      <w:r w:rsidRPr="005A0549">
        <w:rPr>
          <w:rFonts w:ascii="Times New Roman" w:eastAsia="Times New Roman" w:hAnsi="Times New Roman" w:cs="Times New Roman"/>
          <w:sz w:val="24"/>
          <w:szCs w:val="24"/>
          <w:lang w:eastAsia="es-AR"/>
        </w:rPr>
        <w:t>Saiegh</w:t>
      </w:r>
      <w:proofErr w:type="spellEnd"/>
      <w:r w:rsidRPr="005A0549">
        <w:rPr>
          <w:rFonts w:ascii="Times New Roman" w:eastAsia="Times New Roman" w:hAnsi="Times New Roman" w:cs="Times New Roman"/>
          <w:sz w:val="24"/>
          <w:szCs w:val="24"/>
          <w:lang w:eastAsia="es-AR"/>
        </w:rPr>
        <w:t xml:space="preserve">, Daniel Osvaldo s/Tercería en autos: </w:t>
      </w:r>
      <w:proofErr w:type="spellStart"/>
      <w:r w:rsidRPr="005A0549">
        <w:rPr>
          <w:rFonts w:ascii="Times New Roman" w:eastAsia="Times New Roman" w:hAnsi="Times New Roman" w:cs="Times New Roman"/>
          <w:sz w:val="24"/>
          <w:szCs w:val="24"/>
          <w:lang w:eastAsia="es-AR"/>
        </w:rPr>
        <w:t>Mariezcurrena</w:t>
      </w:r>
      <w:proofErr w:type="spellEnd"/>
      <w:r w:rsidRPr="005A0549">
        <w:rPr>
          <w:rFonts w:ascii="Times New Roman" w:eastAsia="Times New Roman" w:hAnsi="Times New Roman" w:cs="Times New Roman"/>
          <w:sz w:val="24"/>
          <w:szCs w:val="24"/>
          <w:lang w:eastAsia="es-AR"/>
        </w:rPr>
        <w:t xml:space="preserve">, Gustavo c/ </w:t>
      </w:r>
      <w:proofErr w:type="spellStart"/>
      <w:r w:rsidRPr="005A0549">
        <w:rPr>
          <w:rFonts w:ascii="Times New Roman" w:eastAsia="Times New Roman" w:hAnsi="Times New Roman" w:cs="Times New Roman"/>
          <w:sz w:val="24"/>
          <w:szCs w:val="24"/>
          <w:lang w:eastAsia="es-AR"/>
        </w:rPr>
        <w:t>Ajón</w:t>
      </w:r>
      <w:proofErr w:type="spellEnd"/>
      <w:r w:rsidRPr="005A0549">
        <w:rPr>
          <w:rFonts w:ascii="Times New Roman" w:eastAsia="Times New Roman" w:hAnsi="Times New Roman" w:cs="Times New Roman"/>
          <w:sz w:val="24"/>
          <w:szCs w:val="24"/>
          <w:lang w:eastAsia="es-AR"/>
        </w:rPr>
        <w:t>, Simón s/Ejecutivo", del 25.9.01; íd. "</w:t>
      </w:r>
      <w:proofErr w:type="spellStart"/>
      <w:r w:rsidRPr="005A0549">
        <w:rPr>
          <w:rFonts w:ascii="Times New Roman" w:eastAsia="Times New Roman" w:hAnsi="Times New Roman" w:cs="Times New Roman"/>
          <w:sz w:val="24"/>
          <w:szCs w:val="24"/>
          <w:lang w:eastAsia="es-AR"/>
        </w:rPr>
        <w:t>Verdoljak</w:t>
      </w:r>
      <w:proofErr w:type="spellEnd"/>
      <w:r w:rsidRPr="005A0549">
        <w:rPr>
          <w:rFonts w:ascii="Times New Roman" w:eastAsia="Times New Roman" w:hAnsi="Times New Roman" w:cs="Times New Roman"/>
          <w:sz w:val="24"/>
          <w:szCs w:val="24"/>
          <w:lang w:eastAsia="es-AR"/>
        </w:rPr>
        <w:t xml:space="preserve"> Miguel </w:t>
      </w:r>
      <w:proofErr w:type="spellStart"/>
      <w:r w:rsidRPr="005A0549">
        <w:rPr>
          <w:rFonts w:ascii="Times New Roman" w:eastAsia="Times New Roman" w:hAnsi="Times New Roman" w:cs="Times New Roman"/>
          <w:sz w:val="24"/>
          <w:szCs w:val="24"/>
          <w:lang w:eastAsia="es-AR"/>
        </w:rPr>
        <w:t>Angel</w:t>
      </w:r>
      <w:proofErr w:type="spellEnd"/>
      <w:r w:rsidRPr="005A0549">
        <w:rPr>
          <w:rFonts w:ascii="Times New Roman" w:eastAsia="Times New Roman" w:hAnsi="Times New Roman" w:cs="Times New Roman"/>
          <w:sz w:val="24"/>
          <w:szCs w:val="24"/>
          <w:lang w:eastAsia="es-AR"/>
        </w:rPr>
        <w:t xml:space="preserve"> c/ Fiat Auto SA de Ahorro p/f Determinados s/tercería de dominio", del 24.4.09).</w:t>
      </w:r>
    </w:p>
    <w:p w:rsidR="00C429EB" w:rsidRPr="005A0549" w:rsidRDefault="00C429EB" w:rsidP="00C429E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5A0549">
        <w:rPr>
          <w:rFonts w:ascii="Times New Roman" w:eastAsia="Times New Roman" w:hAnsi="Times New Roman" w:cs="Times New Roman"/>
          <w:sz w:val="24"/>
          <w:szCs w:val="24"/>
          <w:lang w:eastAsia="es-AR"/>
        </w:rPr>
        <w:t>Sin embargo, en tanto tal postura no es compartida por mis distinguidos colegas, la consideración de los agravios relativa a la integración o no del veinticinco por ciento del precio pactado, resulta de abstracto tratamiento</w:t>
      </w:r>
      <w:proofErr w:type="gramStart"/>
      <w:r w:rsidRPr="005A0549">
        <w:rPr>
          <w:rFonts w:ascii="Times New Roman" w:eastAsia="Times New Roman" w:hAnsi="Times New Roman" w:cs="Times New Roman"/>
          <w:sz w:val="24"/>
          <w:szCs w:val="24"/>
          <w:lang w:eastAsia="es-AR"/>
        </w:rPr>
        <w:t>.—</w:t>
      </w:r>
      <w:proofErr w:type="gramEnd"/>
      <w:r w:rsidRPr="005A0549">
        <w:rPr>
          <w:rFonts w:ascii="Times New Roman" w:eastAsia="Times New Roman" w:hAnsi="Times New Roman" w:cs="Times New Roman"/>
          <w:sz w:val="24"/>
          <w:szCs w:val="24"/>
          <w:lang w:eastAsia="es-AR"/>
        </w:rPr>
        <w:t xml:space="preserve"> </w:t>
      </w:r>
      <w:proofErr w:type="spellStart"/>
      <w:r w:rsidRPr="005A0549">
        <w:rPr>
          <w:rFonts w:ascii="Times New Roman" w:eastAsia="Times New Roman" w:hAnsi="Times New Roman" w:cs="Times New Roman"/>
          <w:sz w:val="24"/>
          <w:szCs w:val="24"/>
          <w:lang w:eastAsia="es-AR"/>
        </w:rPr>
        <w:t>Bindo</w:t>
      </w:r>
      <w:proofErr w:type="spellEnd"/>
      <w:r w:rsidRPr="005A0549">
        <w:rPr>
          <w:rFonts w:ascii="Times New Roman" w:eastAsia="Times New Roman" w:hAnsi="Times New Roman" w:cs="Times New Roman"/>
          <w:sz w:val="24"/>
          <w:szCs w:val="24"/>
          <w:lang w:eastAsia="es-AR"/>
        </w:rPr>
        <w:t xml:space="preserve"> B. </w:t>
      </w:r>
      <w:proofErr w:type="spellStart"/>
      <w:r w:rsidRPr="005A0549">
        <w:rPr>
          <w:rFonts w:ascii="Times New Roman" w:eastAsia="Times New Roman" w:hAnsi="Times New Roman" w:cs="Times New Roman"/>
          <w:sz w:val="24"/>
          <w:szCs w:val="24"/>
          <w:lang w:eastAsia="es-AR"/>
        </w:rPr>
        <w:t>Caviglione</w:t>
      </w:r>
      <w:proofErr w:type="spellEnd"/>
      <w:r w:rsidRPr="005A0549">
        <w:rPr>
          <w:rFonts w:ascii="Times New Roman" w:eastAsia="Times New Roman" w:hAnsi="Times New Roman" w:cs="Times New Roman"/>
          <w:sz w:val="24"/>
          <w:szCs w:val="24"/>
          <w:lang w:eastAsia="es-AR"/>
        </w:rPr>
        <w:t xml:space="preserve"> Fraga. </w:t>
      </w:r>
    </w:p>
    <w:p w:rsidR="00C429EB" w:rsidRPr="005A0549" w:rsidRDefault="00C429EB" w:rsidP="00C429EB">
      <w:pPr>
        <w:spacing w:after="0" w:line="240" w:lineRule="auto"/>
        <w:jc w:val="both"/>
        <w:rPr>
          <w:rFonts w:ascii="Times New Roman" w:eastAsia="Times New Roman" w:hAnsi="Times New Roman" w:cs="Times New Roman"/>
          <w:sz w:val="24"/>
          <w:szCs w:val="24"/>
          <w:lang w:eastAsia="es-AR"/>
        </w:rPr>
      </w:pPr>
      <w:r w:rsidRPr="005A0549">
        <w:rPr>
          <w:rFonts w:ascii="Times New Roman" w:eastAsia="Times New Roman" w:hAnsi="Times New Roman" w:cs="Times New Roman"/>
          <w:sz w:val="24"/>
          <w:szCs w:val="24"/>
          <w:lang w:eastAsia="es-AR"/>
        </w:rPr>
        <w:t> </w:t>
      </w:r>
    </w:p>
    <w:p w:rsidR="00C429EB" w:rsidRDefault="00C429EB" w:rsidP="00C429EB">
      <w:pPr>
        <w:jc w:val="both"/>
      </w:pP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2"/>
  </w:compat>
  <w:rsids>
    <w:rsidRoot w:val="00C429EB"/>
    <w:rsid w:val="000D756C"/>
    <w:rsid w:val="00467085"/>
    <w:rsid w:val="00A36C50"/>
    <w:rsid w:val="00C429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9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1306</Words>
  <Characters>7188</Characters>
  <Application>Microsoft Office Word</Application>
  <DocSecurity>0</DocSecurity>
  <Lines>59</Lines>
  <Paragraphs>16</Paragraphs>
  <ScaleCrop>false</ScaleCrop>
  <Company/>
  <LinksUpToDate>false</LinksUpToDate>
  <CharactersWithSpaces>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2012-01-23T16:34:00Z</dcterms:created>
  <dcterms:modified xsi:type="dcterms:W3CDTF">2014-04-23T13:01:00Z</dcterms:modified>
</cp:coreProperties>
</file>