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538" w:rsidRDefault="000D4538" w:rsidP="005F6CE3">
      <w:pPr>
        <w:spacing w:before="100" w:beforeAutospacing="1" w:after="100" w:afterAutospacing="1" w:line="240" w:lineRule="auto"/>
        <w:rPr>
          <w:rFonts w:ascii="Times New Roman" w:eastAsia="Times New Roman" w:hAnsi="Times New Roman" w:cs="Times New Roman"/>
          <w:sz w:val="24"/>
          <w:szCs w:val="24"/>
          <w:lang w:eastAsia="es-AR"/>
        </w:rPr>
      </w:pPr>
    </w:p>
    <w:p w:rsidR="005F6CE3" w:rsidRPr="005F6CE3" w:rsidRDefault="005F6CE3" w:rsidP="005F6CE3">
      <w:pPr>
        <w:spacing w:before="100" w:beforeAutospacing="1" w:after="100" w:afterAutospacing="1" w:line="240" w:lineRule="auto"/>
        <w:rPr>
          <w:rFonts w:ascii="Times New Roman" w:eastAsia="Times New Roman" w:hAnsi="Times New Roman" w:cs="Times New Roman"/>
          <w:sz w:val="24"/>
          <w:szCs w:val="24"/>
          <w:lang w:eastAsia="es-AR"/>
        </w:rPr>
      </w:pPr>
      <w:bookmarkStart w:id="0" w:name="_GoBack"/>
      <w:bookmarkEnd w:id="0"/>
      <w:r w:rsidRPr="005F6CE3">
        <w:rPr>
          <w:rFonts w:ascii="Times New Roman" w:eastAsia="Times New Roman" w:hAnsi="Times New Roman" w:cs="Times New Roman"/>
          <w:sz w:val="24"/>
          <w:szCs w:val="24"/>
          <w:lang w:eastAsia="es-AR"/>
        </w:rPr>
        <w:t>Cámara Nacional de Apelaciones en lo Civil, sala B</w:t>
      </w:r>
    </w:p>
    <w:p w:rsidR="005F6CE3" w:rsidRPr="00641F7F" w:rsidRDefault="005F6CE3" w:rsidP="005F6CE3">
      <w:pPr>
        <w:spacing w:after="0" w:line="240" w:lineRule="auto"/>
        <w:rPr>
          <w:rFonts w:ascii="Times New Roman" w:eastAsia="Times New Roman" w:hAnsi="Times New Roman" w:cs="Times New Roman"/>
          <w:sz w:val="24"/>
          <w:szCs w:val="24"/>
          <w:lang w:val="en-US" w:eastAsia="es-AR"/>
        </w:rPr>
      </w:pPr>
      <w:proofErr w:type="gramStart"/>
      <w:r w:rsidRPr="00641F7F">
        <w:rPr>
          <w:rFonts w:ascii="Times New Roman" w:eastAsia="Times New Roman" w:hAnsi="Times New Roman" w:cs="Times New Roman"/>
          <w:sz w:val="24"/>
          <w:szCs w:val="24"/>
          <w:lang w:val="en-US" w:eastAsia="es-AR"/>
        </w:rPr>
        <w:t>S., A. /</w:t>
      </w:r>
      <w:proofErr w:type="spellStart"/>
      <w:r w:rsidRPr="00641F7F">
        <w:rPr>
          <w:rFonts w:ascii="Times New Roman" w:eastAsia="Times New Roman" w:hAnsi="Times New Roman" w:cs="Times New Roman"/>
          <w:sz w:val="24"/>
          <w:szCs w:val="24"/>
          <w:lang w:val="en-US" w:eastAsia="es-AR"/>
        </w:rPr>
        <w:t>suc</w:t>
      </w:r>
      <w:proofErr w:type="spellEnd"/>
      <w:r w:rsidRPr="00641F7F">
        <w:rPr>
          <w:rFonts w:ascii="Times New Roman" w:eastAsia="Times New Roman" w:hAnsi="Times New Roman" w:cs="Times New Roman"/>
          <w:sz w:val="24"/>
          <w:szCs w:val="24"/>
          <w:lang w:val="en-US" w:eastAsia="es-AR"/>
        </w:rPr>
        <w:t>.</w:t>
      </w:r>
      <w:proofErr w:type="gramEnd"/>
      <w:r w:rsidRPr="00641F7F">
        <w:rPr>
          <w:rFonts w:ascii="Times New Roman" w:eastAsia="Times New Roman" w:hAnsi="Times New Roman" w:cs="Times New Roman"/>
          <w:sz w:val="24"/>
          <w:szCs w:val="24"/>
          <w:lang w:val="en-US" w:eastAsia="es-AR"/>
        </w:rPr>
        <w:t xml:space="preserve"> </w:t>
      </w:r>
      <w:proofErr w:type="gramStart"/>
      <w:r w:rsidRPr="00641F7F">
        <w:rPr>
          <w:rFonts w:ascii="Times New Roman" w:eastAsia="Times New Roman" w:hAnsi="Times New Roman" w:cs="Times New Roman"/>
          <w:sz w:val="24"/>
          <w:szCs w:val="24"/>
          <w:lang w:val="en-US" w:eastAsia="es-AR"/>
        </w:rPr>
        <w:t>ab</w:t>
      </w:r>
      <w:proofErr w:type="gramEnd"/>
      <w:r w:rsidRPr="00641F7F">
        <w:rPr>
          <w:rFonts w:ascii="Times New Roman" w:eastAsia="Times New Roman" w:hAnsi="Times New Roman" w:cs="Times New Roman"/>
          <w:sz w:val="24"/>
          <w:szCs w:val="24"/>
          <w:lang w:val="en-US" w:eastAsia="es-AR"/>
        </w:rPr>
        <w:t xml:space="preserve"> </w:t>
      </w:r>
      <w:proofErr w:type="spellStart"/>
      <w:r w:rsidRPr="00641F7F">
        <w:rPr>
          <w:rFonts w:ascii="Times New Roman" w:eastAsia="Times New Roman" w:hAnsi="Times New Roman" w:cs="Times New Roman"/>
          <w:sz w:val="24"/>
          <w:szCs w:val="24"/>
          <w:lang w:val="en-US" w:eastAsia="es-AR"/>
        </w:rPr>
        <w:t>intestato</w:t>
      </w:r>
      <w:proofErr w:type="spellEnd"/>
      <w:r w:rsidRPr="00641F7F">
        <w:rPr>
          <w:rFonts w:ascii="Times New Roman" w:eastAsia="Times New Roman" w:hAnsi="Times New Roman" w:cs="Times New Roman"/>
          <w:sz w:val="24"/>
          <w:szCs w:val="24"/>
          <w:lang w:val="en-US" w:eastAsia="es-AR"/>
        </w:rPr>
        <w:t xml:space="preserve"> • 08/11/2010  </w:t>
      </w:r>
    </w:p>
    <w:p w:rsidR="005F6CE3" w:rsidRPr="005F6CE3" w:rsidRDefault="005F6CE3" w:rsidP="005F6CE3">
      <w:pPr>
        <w:spacing w:before="100" w:beforeAutospacing="1" w:after="100" w:afterAutospacing="1" w:line="240" w:lineRule="auto"/>
        <w:rPr>
          <w:rFonts w:ascii="Times New Roman" w:eastAsia="Times New Roman" w:hAnsi="Times New Roman" w:cs="Times New Roman"/>
          <w:sz w:val="24"/>
          <w:szCs w:val="24"/>
          <w:lang w:eastAsia="es-AR"/>
        </w:rPr>
      </w:pPr>
      <w:r w:rsidRPr="005F6CE3">
        <w:rPr>
          <w:rFonts w:ascii="Times New Roman" w:eastAsia="Times New Roman" w:hAnsi="Times New Roman" w:cs="Times New Roman"/>
          <w:sz w:val="24"/>
          <w:szCs w:val="24"/>
          <w:lang w:eastAsia="es-AR"/>
        </w:rPr>
        <w:t xml:space="preserve">2ª Instancia. — Buenos Aires, noviembre 8 de 2010. </w:t>
      </w:r>
    </w:p>
    <w:p w:rsidR="005F6CE3" w:rsidRPr="005F6CE3" w:rsidRDefault="005F6CE3" w:rsidP="005F6CE3">
      <w:pPr>
        <w:spacing w:before="100" w:beforeAutospacing="1" w:after="100" w:afterAutospacing="1" w:line="240" w:lineRule="auto"/>
        <w:rPr>
          <w:rFonts w:ascii="Times New Roman" w:eastAsia="Times New Roman" w:hAnsi="Times New Roman" w:cs="Times New Roman"/>
          <w:sz w:val="24"/>
          <w:szCs w:val="24"/>
          <w:lang w:eastAsia="es-AR"/>
        </w:rPr>
      </w:pPr>
      <w:r w:rsidRPr="005F6CE3">
        <w:rPr>
          <w:rFonts w:ascii="Times New Roman" w:eastAsia="Times New Roman" w:hAnsi="Times New Roman" w:cs="Times New Roman"/>
          <w:sz w:val="24"/>
          <w:szCs w:val="24"/>
          <w:lang w:eastAsia="es-AR"/>
        </w:rPr>
        <w:t>Y Vistos y Considerando:</w:t>
      </w:r>
    </w:p>
    <w:p w:rsidR="005F6CE3" w:rsidRPr="005F6CE3" w:rsidRDefault="005F6CE3" w:rsidP="005F6CE3">
      <w:pPr>
        <w:spacing w:before="100" w:beforeAutospacing="1" w:after="100" w:afterAutospacing="1" w:line="240" w:lineRule="auto"/>
        <w:rPr>
          <w:rFonts w:ascii="Times New Roman" w:eastAsia="Times New Roman" w:hAnsi="Times New Roman" w:cs="Times New Roman"/>
          <w:sz w:val="24"/>
          <w:szCs w:val="24"/>
          <w:lang w:eastAsia="es-AR"/>
        </w:rPr>
      </w:pPr>
      <w:r w:rsidRPr="005F6CE3">
        <w:rPr>
          <w:rFonts w:ascii="Times New Roman" w:eastAsia="Times New Roman" w:hAnsi="Times New Roman" w:cs="Times New Roman"/>
          <w:sz w:val="24"/>
          <w:szCs w:val="24"/>
          <w:lang w:eastAsia="es-AR"/>
        </w:rPr>
        <w:t>I.- Contra la resolución interlocutoria de fs. 67, que rechaza la petición de ser declarado heredero en los términos del art. 3576 bis del Código Civil, interpone recurso de apelación M. J. M., expresando sus agravios a fs. 73/75.</w:t>
      </w:r>
    </w:p>
    <w:p w:rsidR="005F6CE3" w:rsidRPr="005F6CE3" w:rsidRDefault="005F6CE3" w:rsidP="005F6CE3">
      <w:pPr>
        <w:spacing w:before="100" w:beforeAutospacing="1" w:after="100" w:afterAutospacing="1" w:line="240" w:lineRule="auto"/>
        <w:rPr>
          <w:rFonts w:ascii="Times New Roman" w:eastAsia="Times New Roman" w:hAnsi="Times New Roman" w:cs="Times New Roman"/>
          <w:sz w:val="24"/>
          <w:szCs w:val="24"/>
          <w:lang w:eastAsia="es-AR"/>
        </w:rPr>
      </w:pPr>
      <w:r w:rsidRPr="005F6CE3">
        <w:rPr>
          <w:rFonts w:ascii="Times New Roman" w:eastAsia="Times New Roman" w:hAnsi="Times New Roman" w:cs="Times New Roman"/>
          <w:sz w:val="24"/>
          <w:szCs w:val="24"/>
          <w:lang w:eastAsia="es-AR"/>
        </w:rPr>
        <w:t xml:space="preserve">Explica que la denegatoria se ha fundado al interpretar la norma citada en el sentido de que ha querido proporcionar a la mujer, viuda y sin hijos, algunos recursos, llamándola a una pequeña parte de la sucesión de sus suegros. La a quo afirmó que el derecho reconocido a la viuda tiene un fundamento asistencial y se nutre de la idea de solidaridad familiar y que se explica que se la conceda a la viuda y no al viudo porque se supone que el hombre tiene más posibilidades de ganarse la vida que la mujer. </w:t>
      </w:r>
    </w:p>
    <w:p w:rsidR="005F6CE3" w:rsidRPr="005F6CE3" w:rsidRDefault="005F6CE3" w:rsidP="005F6CE3">
      <w:pPr>
        <w:spacing w:before="100" w:beforeAutospacing="1" w:after="100" w:afterAutospacing="1" w:line="240" w:lineRule="auto"/>
        <w:rPr>
          <w:rFonts w:ascii="Times New Roman" w:eastAsia="Times New Roman" w:hAnsi="Times New Roman" w:cs="Times New Roman"/>
          <w:sz w:val="24"/>
          <w:szCs w:val="24"/>
          <w:lang w:eastAsia="es-AR"/>
        </w:rPr>
      </w:pPr>
      <w:r w:rsidRPr="005F6CE3">
        <w:rPr>
          <w:rFonts w:ascii="Times New Roman" w:eastAsia="Times New Roman" w:hAnsi="Times New Roman" w:cs="Times New Roman"/>
          <w:sz w:val="24"/>
          <w:szCs w:val="24"/>
          <w:lang w:eastAsia="es-AR"/>
        </w:rPr>
        <w:t>Se agravia el apelante por cuanto afirma que el carácter asistencial al que se hace referencia no justifica que el derecho se conceda a la viuda y no al viudo, que no es razonable, ni cierto, que el hombre tenga más posibilidades de ganarse la vida que la mujer. Que la decisión cuestionada se asienta en conceptos parciales que, apoyados en fundamentos asistenciales, terminan siendo totalmente ajenos a la realidad.</w:t>
      </w:r>
    </w:p>
    <w:p w:rsidR="005F6CE3" w:rsidRPr="005F6CE3" w:rsidRDefault="005F6CE3" w:rsidP="005F6CE3">
      <w:pPr>
        <w:spacing w:before="100" w:beforeAutospacing="1" w:after="100" w:afterAutospacing="1" w:line="240" w:lineRule="auto"/>
        <w:rPr>
          <w:rFonts w:ascii="Times New Roman" w:eastAsia="Times New Roman" w:hAnsi="Times New Roman" w:cs="Times New Roman"/>
          <w:sz w:val="24"/>
          <w:szCs w:val="24"/>
          <w:lang w:eastAsia="es-AR"/>
        </w:rPr>
      </w:pPr>
      <w:r w:rsidRPr="005F6CE3">
        <w:rPr>
          <w:rFonts w:ascii="Times New Roman" w:eastAsia="Times New Roman" w:hAnsi="Times New Roman" w:cs="Times New Roman"/>
          <w:sz w:val="24"/>
          <w:szCs w:val="24"/>
          <w:lang w:eastAsia="es-AR"/>
        </w:rPr>
        <w:t>Lo anotado, continúa el apelante, desvirtúa una realidad insoslayable, ya que conseguir trabajo afecta por igual a hombres y a mujeres y quizás actualmente, por el tipo de demanda laboral, más a los hombres. Que la mujer no se queda en su casa a esperar que el marido la mantenga; compite en igualdad de condiciones con el hombre, laboral y económicamente. La norma en cuestión, agrega, no distingue entre la viuda rica o pobre, con lo cual mal puede presumirse su carácter asistencial.</w:t>
      </w:r>
    </w:p>
    <w:p w:rsidR="005F6CE3" w:rsidRPr="005F6CE3" w:rsidRDefault="005F6CE3" w:rsidP="005F6CE3">
      <w:pPr>
        <w:spacing w:before="100" w:beforeAutospacing="1" w:after="100" w:afterAutospacing="1" w:line="240" w:lineRule="auto"/>
        <w:rPr>
          <w:rFonts w:ascii="Times New Roman" w:eastAsia="Times New Roman" w:hAnsi="Times New Roman" w:cs="Times New Roman"/>
          <w:sz w:val="24"/>
          <w:szCs w:val="24"/>
          <w:lang w:eastAsia="es-AR"/>
        </w:rPr>
      </w:pPr>
      <w:r w:rsidRPr="005F6CE3">
        <w:rPr>
          <w:rFonts w:ascii="Times New Roman" w:eastAsia="Times New Roman" w:hAnsi="Times New Roman" w:cs="Times New Roman"/>
          <w:sz w:val="24"/>
          <w:szCs w:val="24"/>
          <w:lang w:eastAsia="es-AR"/>
        </w:rPr>
        <w:t xml:space="preserve">La interpretación propuesta en la instancia de grado, postula el recurrente, es incongruente con la modificación sustancial del derecho argentino a partir de la incorporación </w:t>
      </w:r>
      <w:proofErr w:type="spellStart"/>
      <w:r w:rsidRPr="005F6CE3">
        <w:rPr>
          <w:rFonts w:ascii="Times New Roman" w:eastAsia="Times New Roman" w:hAnsi="Times New Roman" w:cs="Times New Roman"/>
          <w:sz w:val="24"/>
          <w:szCs w:val="24"/>
          <w:lang w:eastAsia="es-AR"/>
        </w:rPr>
        <w:t>supralegal</w:t>
      </w:r>
      <w:proofErr w:type="spellEnd"/>
      <w:r w:rsidRPr="005F6CE3">
        <w:rPr>
          <w:rFonts w:ascii="Times New Roman" w:eastAsia="Times New Roman" w:hAnsi="Times New Roman" w:cs="Times New Roman"/>
          <w:sz w:val="24"/>
          <w:szCs w:val="24"/>
          <w:lang w:eastAsia="es-AR"/>
        </w:rPr>
        <w:t xml:space="preserve"> de tratados internacionales en el año 1994 y con la Declaración de Derechos Humanos que consagra la igualdad del hombre y la mujer. La interpretación restringida que se la ha dado a la norma desvirtúa la paridad de géneros, reduciéndolos a los tradicionales roles de esposa-ama de casa y marido-proveedor. La negativa de conceder el mismo derecho al hombre, por ende, configura una situación discriminatoria.</w:t>
      </w:r>
    </w:p>
    <w:p w:rsidR="005F6CE3" w:rsidRPr="005F6CE3" w:rsidRDefault="005F6CE3" w:rsidP="005F6CE3">
      <w:pPr>
        <w:spacing w:before="100" w:beforeAutospacing="1" w:after="100" w:afterAutospacing="1" w:line="240" w:lineRule="auto"/>
        <w:rPr>
          <w:rFonts w:ascii="Times New Roman" w:eastAsia="Times New Roman" w:hAnsi="Times New Roman" w:cs="Times New Roman"/>
          <w:sz w:val="24"/>
          <w:szCs w:val="24"/>
          <w:lang w:eastAsia="es-AR"/>
        </w:rPr>
      </w:pPr>
      <w:r w:rsidRPr="005F6CE3">
        <w:rPr>
          <w:rFonts w:ascii="Times New Roman" w:eastAsia="Times New Roman" w:hAnsi="Times New Roman" w:cs="Times New Roman"/>
          <w:sz w:val="24"/>
          <w:szCs w:val="24"/>
          <w:lang w:eastAsia="es-AR"/>
        </w:rPr>
        <w:t>II.- A fs. 77/78 R. N. S. responde el traslado del memorial.</w:t>
      </w:r>
    </w:p>
    <w:p w:rsidR="005F6CE3" w:rsidRPr="005F6CE3" w:rsidRDefault="005F6CE3" w:rsidP="005F6CE3">
      <w:pPr>
        <w:spacing w:before="100" w:beforeAutospacing="1" w:after="100" w:afterAutospacing="1" w:line="240" w:lineRule="auto"/>
        <w:rPr>
          <w:rFonts w:ascii="Times New Roman" w:eastAsia="Times New Roman" w:hAnsi="Times New Roman" w:cs="Times New Roman"/>
          <w:sz w:val="24"/>
          <w:szCs w:val="24"/>
          <w:lang w:eastAsia="es-AR"/>
        </w:rPr>
      </w:pPr>
      <w:r w:rsidRPr="005F6CE3">
        <w:rPr>
          <w:rFonts w:ascii="Times New Roman" w:eastAsia="Times New Roman" w:hAnsi="Times New Roman" w:cs="Times New Roman"/>
          <w:sz w:val="24"/>
          <w:szCs w:val="24"/>
          <w:lang w:eastAsia="es-AR"/>
        </w:rPr>
        <w:t xml:space="preserve">Explica que la norma implica un carácter asistencial que se le concede a la viuda y no al viudo, porque se supone que el hombre tiene más posibilidades de ganarse la vida que la </w:t>
      </w:r>
      <w:r w:rsidRPr="005F6CE3">
        <w:rPr>
          <w:rFonts w:ascii="Times New Roman" w:eastAsia="Times New Roman" w:hAnsi="Times New Roman" w:cs="Times New Roman"/>
          <w:sz w:val="24"/>
          <w:szCs w:val="24"/>
          <w:lang w:eastAsia="es-AR"/>
        </w:rPr>
        <w:lastRenderedPageBreak/>
        <w:t>mujer. De la misma manera, se afirma, la igualdad consagrada en tratados internacionales del hombre y la mujer tiende a la protección de esta última, sin que esta postura signifique discriminación alguna.</w:t>
      </w:r>
    </w:p>
    <w:p w:rsidR="005F6CE3" w:rsidRPr="005F6CE3" w:rsidRDefault="005F6CE3" w:rsidP="005F6CE3">
      <w:pPr>
        <w:spacing w:before="100" w:beforeAutospacing="1" w:after="100" w:afterAutospacing="1" w:line="240" w:lineRule="auto"/>
        <w:rPr>
          <w:rFonts w:ascii="Times New Roman" w:eastAsia="Times New Roman" w:hAnsi="Times New Roman" w:cs="Times New Roman"/>
          <w:sz w:val="24"/>
          <w:szCs w:val="24"/>
          <w:lang w:eastAsia="es-AR"/>
        </w:rPr>
      </w:pPr>
      <w:r w:rsidRPr="005F6CE3">
        <w:rPr>
          <w:rFonts w:ascii="Times New Roman" w:eastAsia="Times New Roman" w:hAnsi="Times New Roman" w:cs="Times New Roman"/>
          <w:sz w:val="24"/>
          <w:szCs w:val="24"/>
          <w:lang w:eastAsia="es-AR"/>
        </w:rPr>
        <w:t xml:space="preserve">En el derecho positivo, continúa exponiendo el litigante </w:t>
      </w:r>
      <w:proofErr w:type="spellStart"/>
      <w:r w:rsidRPr="005F6CE3">
        <w:rPr>
          <w:rFonts w:ascii="Times New Roman" w:eastAsia="Times New Roman" w:hAnsi="Times New Roman" w:cs="Times New Roman"/>
          <w:sz w:val="24"/>
          <w:szCs w:val="24"/>
          <w:lang w:eastAsia="es-AR"/>
        </w:rPr>
        <w:t>Saba</w:t>
      </w:r>
      <w:proofErr w:type="spellEnd"/>
      <w:r w:rsidRPr="005F6CE3">
        <w:rPr>
          <w:rFonts w:ascii="Times New Roman" w:eastAsia="Times New Roman" w:hAnsi="Times New Roman" w:cs="Times New Roman"/>
          <w:sz w:val="24"/>
          <w:szCs w:val="24"/>
          <w:lang w:eastAsia="es-AR"/>
        </w:rPr>
        <w:t xml:space="preserve">, existen numerosos casos en los que la ley y la jurisprudencia privilegian a la mujer en razón de su género, sin que a nadie se le ocurra plantear que existe discriminación; por ejemplo cuando se la deja permanecer en el hogar en caso de conflicto con su cónyuge, en distintas normas del derecho del trabajo, etc. Agrega que la interpretación del apelante en el </w:t>
      </w:r>
      <w:proofErr w:type="spellStart"/>
      <w:r w:rsidRPr="005F6CE3">
        <w:rPr>
          <w:rFonts w:ascii="Times New Roman" w:eastAsia="Times New Roman" w:hAnsi="Times New Roman" w:cs="Times New Roman"/>
          <w:sz w:val="24"/>
          <w:szCs w:val="24"/>
          <w:lang w:eastAsia="es-AR"/>
        </w:rPr>
        <w:t>cuando</w:t>
      </w:r>
      <w:proofErr w:type="spellEnd"/>
      <w:r w:rsidRPr="005F6CE3">
        <w:rPr>
          <w:rFonts w:ascii="Times New Roman" w:eastAsia="Times New Roman" w:hAnsi="Times New Roman" w:cs="Times New Roman"/>
          <w:sz w:val="24"/>
          <w:szCs w:val="24"/>
          <w:lang w:eastAsia="es-AR"/>
        </w:rPr>
        <w:t xml:space="preserve"> postula que toda norma deba interpretarse en sentido genérico, sin considerar el género que se haya utilizado en su redacción, deviene por lo menos peligrosa y vulnera todo el andamiaje, legal, requiriendo en cada caso ser objeto de un debate legislativo para considerar la procedencia de la modificación.</w:t>
      </w:r>
    </w:p>
    <w:p w:rsidR="005F6CE3" w:rsidRPr="005F6CE3" w:rsidRDefault="005F6CE3" w:rsidP="005F6CE3">
      <w:pPr>
        <w:spacing w:before="100" w:beforeAutospacing="1" w:after="100" w:afterAutospacing="1" w:line="240" w:lineRule="auto"/>
        <w:rPr>
          <w:rFonts w:ascii="Times New Roman" w:eastAsia="Times New Roman" w:hAnsi="Times New Roman" w:cs="Times New Roman"/>
          <w:sz w:val="24"/>
          <w:szCs w:val="24"/>
          <w:lang w:eastAsia="es-AR"/>
        </w:rPr>
      </w:pPr>
      <w:r w:rsidRPr="005F6CE3">
        <w:rPr>
          <w:rFonts w:ascii="Times New Roman" w:eastAsia="Times New Roman" w:hAnsi="Times New Roman" w:cs="Times New Roman"/>
          <w:sz w:val="24"/>
          <w:szCs w:val="24"/>
          <w:lang w:eastAsia="es-AR"/>
        </w:rPr>
        <w:t>III.- A fs. 84 se expide el Sr. Fiscal General dictaminando que corresponde confirmar la resolución en estudio puesto que el art. 3576 bis del Código Civil tiene una orientación asistencial en la que no encuadra el quejoso.</w:t>
      </w:r>
    </w:p>
    <w:p w:rsidR="005F6CE3" w:rsidRPr="005F6CE3" w:rsidRDefault="005F6CE3" w:rsidP="005F6CE3">
      <w:pPr>
        <w:spacing w:before="100" w:beforeAutospacing="1" w:after="100" w:afterAutospacing="1" w:line="240" w:lineRule="auto"/>
        <w:rPr>
          <w:rFonts w:ascii="Times New Roman" w:eastAsia="Times New Roman" w:hAnsi="Times New Roman" w:cs="Times New Roman"/>
          <w:sz w:val="24"/>
          <w:szCs w:val="24"/>
          <w:lang w:eastAsia="es-AR"/>
        </w:rPr>
      </w:pPr>
      <w:r w:rsidRPr="005F6CE3">
        <w:rPr>
          <w:rFonts w:ascii="Times New Roman" w:eastAsia="Times New Roman" w:hAnsi="Times New Roman" w:cs="Times New Roman"/>
          <w:sz w:val="24"/>
          <w:szCs w:val="24"/>
          <w:lang w:eastAsia="es-AR"/>
        </w:rPr>
        <w:t>IV.- El artículo 3576 bis del Código Civil establece que, "La viuda que permaneciere en ese estado y no tuviere hijos, o que si los tuvo no sobrevivieren en el momento en que se abrió la sucesión de los suegros, tendrá derecho a la cuarta parte de los bienes que le hubieren correspondido a su esposo en dichas sucesiones. Este derecho no podrá ser invocado por la mujer en los casos de los artículos 3573, 3574 y 3575". Es indudable que dicho artículo no contempla, tal como lo destacó la Magistrada de la instancia de grado, la situación del yerno viudo sin hijos; por lo cual debe concluirse que el plexo infra constitucional otorga un llamamiento sucesorio a la mujer, viuda y sin hijos, a la sucesión de sus suegros, no así al hombre que se encuentre en la misma situación.</w:t>
      </w:r>
    </w:p>
    <w:p w:rsidR="005F6CE3" w:rsidRPr="005F6CE3" w:rsidRDefault="005F6CE3" w:rsidP="005F6CE3">
      <w:pPr>
        <w:spacing w:before="100" w:beforeAutospacing="1" w:after="100" w:afterAutospacing="1" w:line="240" w:lineRule="auto"/>
        <w:rPr>
          <w:rFonts w:ascii="Times New Roman" w:eastAsia="Times New Roman" w:hAnsi="Times New Roman" w:cs="Times New Roman"/>
          <w:sz w:val="24"/>
          <w:szCs w:val="24"/>
          <w:lang w:eastAsia="es-AR"/>
        </w:rPr>
      </w:pPr>
      <w:r w:rsidRPr="005F6CE3">
        <w:rPr>
          <w:rFonts w:ascii="Times New Roman" w:eastAsia="Times New Roman" w:hAnsi="Times New Roman" w:cs="Times New Roman"/>
          <w:sz w:val="24"/>
          <w:szCs w:val="24"/>
          <w:lang w:eastAsia="es-AR"/>
        </w:rPr>
        <w:t>A la luz de los planteos deducidos por el apelante, el Tribunal se ocupará de analizar si la diferenciación normativa sustentada en el sexo de la persona es, en la actualidad, constitucionalmente aceptable.</w:t>
      </w:r>
    </w:p>
    <w:p w:rsidR="005F6CE3" w:rsidRPr="005F6CE3" w:rsidRDefault="005F6CE3" w:rsidP="005F6CE3">
      <w:pPr>
        <w:spacing w:before="100" w:beforeAutospacing="1" w:after="100" w:afterAutospacing="1" w:line="240" w:lineRule="auto"/>
        <w:rPr>
          <w:rFonts w:ascii="Times New Roman" w:eastAsia="Times New Roman" w:hAnsi="Times New Roman" w:cs="Times New Roman"/>
          <w:sz w:val="24"/>
          <w:szCs w:val="24"/>
          <w:lang w:eastAsia="es-AR"/>
        </w:rPr>
      </w:pPr>
      <w:r w:rsidRPr="005F6CE3">
        <w:rPr>
          <w:rFonts w:ascii="Times New Roman" w:eastAsia="Times New Roman" w:hAnsi="Times New Roman" w:cs="Times New Roman"/>
          <w:sz w:val="24"/>
          <w:szCs w:val="24"/>
          <w:lang w:eastAsia="es-AR"/>
        </w:rPr>
        <w:t xml:space="preserve">V.- El fundamento del precepto, incorporado al ordenamiento civil con la reforma del año 1968 —Ley 17.711— según lo explica </w:t>
      </w:r>
      <w:proofErr w:type="spellStart"/>
      <w:r w:rsidRPr="005F6CE3">
        <w:rPr>
          <w:rFonts w:ascii="Times New Roman" w:eastAsia="Times New Roman" w:hAnsi="Times New Roman" w:cs="Times New Roman"/>
          <w:sz w:val="24"/>
          <w:szCs w:val="24"/>
          <w:lang w:eastAsia="es-AR"/>
        </w:rPr>
        <w:t>Zannoni</w:t>
      </w:r>
      <w:proofErr w:type="spellEnd"/>
      <w:r w:rsidRPr="005F6CE3">
        <w:rPr>
          <w:rFonts w:ascii="Times New Roman" w:eastAsia="Times New Roman" w:hAnsi="Times New Roman" w:cs="Times New Roman"/>
          <w:sz w:val="24"/>
          <w:szCs w:val="24"/>
          <w:lang w:eastAsia="es-AR"/>
        </w:rPr>
        <w:t xml:space="preserve">, evoca de alguna manera la cuarta de la viuda pobre e indotada que le acordaban las Partidas (ley VII, tít. XIII, Partida VI), cuyo fundamento era de corte asistencial. En tal sentido, se presumiría que, conservando su estado civil de viudez y sin hijos al tiempo de fallecer sus suegros, dicha viuda carecería normalmente de recursos para subsistir. En ese orden de razonamientos, el autor citado </w:t>
      </w:r>
      <w:proofErr w:type="gramStart"/>
      <w:r w:rsidRPr="005F6CE3">
        <w:rPr>
          <w:rFonts w:ascii="Times New Roman" w:eastAsia="Times New Roman" w:hAnsi="Times New Roman" w:cs="Times New Roman"/>
          <w:sz w:val="24"/>
          <w:szCs w:val="24"/>
          <w:lang w:eastAsia="es-AR"/>
        </w:rPr>
        <w:t>explica</w:t>
      </w:r>
      <w:proofErr w:type="gramEnd"/>
      <w:r w:rsidRPr="005F6CE3">
        <w:rPr>
          <w:rFonts w:ascii="Times New Roman" w:eastAsia="Times New Roman" w:hAnsi="Times New Roman" w:cs="Times New Roman"/>
          <w:sz w:val="24"/>
          <w:szCs w:val="24"/>
          <w:lang w:eastAsia="es-AR"/>
        </w:rPr>
        <w:t xml:space="preserve"> que, si bien probablemente la voluntad del legislador fue la de proteger a la viuda, no sería correcto inferir en la norma citada un último fundamento o razón asistencial </w:t>
      </w:r>
      <w:proofErr w:type="spellStart"/>
      <w:r w:rsidRPr="005F6CE3">
        <w:rPr>
          <w:rFonts w:ascii="Times New Roman" w:eastAsia="Times New Roman" w:hAnsi="Times New Roman" w:cs="Times New Roman"/>
          <w:sz w:val="24"/>
          <w:szCs w:val="24"/>
          <w:lang w:eastAsia="es-AR"/>
        </w:rPr>
        <w:t>por que</w:t>
      </w:r>
      <w:proofErr w:type="spellEnd"/>
      <w:r w:rsidRPr="005F6CE3">
        <w:rPr>
          <w:rFonts w:ascii="Times New Roman" w:eastAsia="Times New Roman" w:hAnsi="Times New Roman" w:cs="Times New Roman"/>
          <w:sz w:val="24"/>
          <w:szCs w:val="24"/>
          <w:lang w:eastAsia="es-AR"/>
        </w:rPr>
        <w:t xml:space="preserve"> éster no se encuentra enunciado a nivel normativo como presupuesto de implementación del llamamiento (</w:t>
      </w:r>
      <w:proofErr w:type="spellStart"/>
      <w:r w:rsidRPr="005F6CE3">
        <w:rPr>
          <w:rFonts w:ascii="Times New Roman" w:eastAsia="Times New Roman" w:hAnsi="Times New Roman" w:cs="Times New Roman"/>
          <w:sz w:val="24"/>
          <w:szCs w:val="24"/>
          <w:lang w:eastAsia="es-AR"/>
        </w:rPr>
        <w:t>Zannoni</w:t>
      </w:r>
      <w:proofErr w:type="spellEnd"/>
      <w:r w:rsidRPr="005F6CE3">
        <w:rPr>
          <w:rFonts w:ascii="Times New Roman" w:eastAsia="Times New Roman" w:hAnsi="Times New Roman" w:cs="Times New Roman"/>
          <w:sz w:val="24"/>
          <w:szCs w:val="24"/>
          <w:lang w:eastAsia="es-AR"/>
        </w:rPr>
        <w:t xml:space="preserve">, Eduardo A., Derecho de las Sucesiones, </w:t>
      </w:r>
      <w:proofErr w:type="spellStart"/>
      <w:r w:rsidRPr="005F6CE3">
        <w:rPr>
          <w:rFonts w:ascii="Times New Roman" w:eastAsia="Times New Roman" w:hAnsi="Times New Roman" w:cs="Times New Roman"/>
          <w:sz w:val="24"/>
          <w:szCs w:val="24"/>
          <w:lang w:eastAsia="es-AR"/>
        </w:rPr>
        <w:t>Astrea</w:t>
      </w:r>
      <w:proofErr w:type="spellEnd"/>
      <w:r w:rsidRPr="005F6CE3">
        <w:rPr>
          <w:rFonts w:ascii="Times New Roman" w:eastAsia="Times New Roman" w:hAnsi="Times New Roman" w:cs="Times New Roman"/>
          <w:sz w:val="24"/>
          <w:szCs w:val="24"/>
          <w:lang w:eastAsia="es-AR"/>
        </w:rPr>
        <w:t>, Buenos Aires, 1983, p. 136).</w:t>
      </w:r>
    </w:p>
    <w:p w:rsidR="005F6CE3" w:rsidRPr="005F6CE3" w:rsidRDefault="005F6CE3" w:rsidP="005F6CE3">
      <w:pPr>
        <w:spacing w:before="100" w:beforeAutospacing="1" w:after="100" w:afterAutospacing="1" w:line="240" w:lineRule="auto"/>
        <w:rPr>
          <w:rFonts w:ascii="Times New Roman" w:eastAsia="Times New Roman" w:hAnsi="Times New Roman" w:cs="Times New Roman"/>
          <w:sz w:val="24"/>
          <w:szCs w:val="24"/>
          <w:lang w:eastAsia="es-AR"/>
        </w:rPr>
      </w:pPr>
      <w:r w:rsidRPr="005F6CE3">
        <w:rPr>
          <w:rFonts w:ascii="Times New Roman" w:eastAsia="Times New Roman" w:hAnsi="Times New Roman" w:cs="Times New Roman"/>
          <w:sz w:val="24"/>
          <w:szCs w:val="24"/>
          <w:lang w:eastAsia="es-AR"/>
        </w:rPr>
        <w:t>Se destaca que la norma en estudio ha merecido, atento su carácter original que no se replica en otros ordenamientos positivos en el derecho comparado (</w:t>
      </w:r>
      <w:proofErr w:type="spellStart"/>
      <w:r w:rsidRPr="005F6CE3">
        <w:rPr>
          <w:rFonts w:ascii="Times New Roman" w:eastAsia="Times New Roman" w:hAnsi="Times New Roman" w:cs="Times New Roman"/>
          <w:sz w:val="24"/>
          <w:szCs w:val="24"/>
          <w:lang w:eastAsia="es-AR"/>
        </w:rPr>
        <w:t>Vanella</w:t>
      </w:r>
      <w:proofErr w:type="spellEnd"/>
      <w:r w:rsidRPr="005F6CE3">
        <w:rPr>
          <w:rFonts w:ascii="Times New Roman" w:eastAsia="Times New Roman" w:hAnsi="Times New Roman" w:cs="Times New Roman"/>
          <w:sz w:val="24"/>
          <w:szCs w:val="24"/>
          <w:lang w:eastAsia="es-AR"/>
        </w:rPr>
        <w:t xml:space="preserve">, Vilma R., La falta de vocación sucesoria del yerno viudo. La diferenciación del sexo, LA LEY, 2009-E, </w:t>
      </w:r>
      <w:r w:rsidRPr="005F6CE3">
        <w:rPr>
          <w:rFonts w:ascii="Times New Roman" w:eastAsia="Times New Roman" w:hAnsi="Times New Roman" w:cs="Times New Roman"/>
          <w:sz w:val="24"/>
          <w:szCs w:val="24"/>
          <w:lang w:eastAsia="es-AR"/>
        </w:rPr>
        <w:lastRenderedPageBreak/>
        <w:t xml:space="preserve">366), dos fundamentos relevantes en la doctrina que se ha ocupado de comentarla. Uno de carácter asistencial —del que participan Moreno </w:t>
      </w:r>
      <w:proofErr w:type="spellStart"/>
      <w:r w:rsidRPr="005F6CE3">
        <w:rPr>
          <w:rFonts w:ascii="Times New Roman" w:eastAsia="Times New Roman" w:hAnsi="Times New Roman" w:cs="Times New Roman"/>
          <w:sz w:val="24"/>
          <w:szCs w:val="24"/>
          <w:lang w:eastAsia="es-AR"/>
        </w:rPr>
        <w:t>Dubois</w:t>
      </w:r>
      <w:proofErr w:type="spellEnd"/>
      <w:r w:rsidRPr="005F6CE3">
        <w:rPr>
          <w:rFonts w:ascii="Times New Roman" w:eastAsia="Times New Roman" w:hAnsi="Times New Roman" w:cs="Times New Roman"/>
          <w:sz w:val="24"/>
          <w:szCs w:val="24"/>
          <w:lang w:eastAsia="es-AR"/>
        </w:rPr>
        <w:t xml:space="preserve">, Borda, </w:t>
      </w:r>
      <w:proofErr w:type="spellStart"/>
      <w:r w:rsidRPr="005F6CE3">
        <w:rPr>
          <w:rFonts w:ascii="Times New Roman" w:eastAsia="Times New Roman" w:hAnsi="Times New Roman" w:cs="Times New Roman"/>
          <w:sz w:val="24"/>
          <w:szCs w:val="24"/>
          <w:lang w:eastAsia="es-AR"/>
        </w:rPr>
        <w:t>Spota</w:t>
      </w:r>
      <w:proofErr w:type="spellEnd"/>
      <w:r w:rsidRPr="005F6CE3">
        <w:rPr>
          <w:rFonts w:ascii="Times New Roman" w:eastAsia="Times New Roman" w:hAnsi="Times New Roman" w:cs="Times New Roman"/>
          <w:sz w:val="24"/>
          <w:szCs w:val="24"/>
          <w:lang w:eastAsia="es-AR"/>
        </w:rPr>
        <w:t xml:space="preserve">, Pérez </w:t>
      </w:r>
      <w:proofErr w:type="spellStart"/>
      <w:r w:rsidRPr="005F6CE3">
        <w:rPr>
          <w:rFonts w:ascii="Times New Roman" w:eastAsia="Times New Roman" w:hAnsi="Times New Roman" w:cs="Times New Roman"/>
          <w:sz w:val="24"/>
          <w:szCs w:val="24"/>
          <w:lang w:eastAsia="es-AR"/>
        </w:rPr>
        <w:t>Lasala</w:t>
      </w:r>
      <w:proofErr w:type="spellEnd"/>
      <w:r w:rsidRPr="005F6CE3">
        <w:rPr>
          <w:rFonts w:ascii="Times New Roman" w:eastAsia="Times New Roman" w:hAnsi="Times New Roman" w:cs="Times New Roman"/>
          <w:sz w:val="24"/>
          <w:szCs w:val="24"/>
          <w:lang w:eastAsia="es-AR"/>
        </w:rPr>
        <w:t xml:space="preserve"> y </w:t>
      </w:r>
      <w:proofErr w:type="spellStart"/>
      <w:r w:rsidRPr="005F6CE3">
        <w:rPr>
          <w:rFonts w:ascii="Times New Roman" w:eastAsia="Times New Roman" w:hAnsi="Times New Roman" w:cs="Times New Roman"/>
          <w:sz w:val="24"/>
          <w:szCs w:val="24"/>
          <w:lang w:eastAsia="es-AR"/>
        </w:rPr>
        <w:t>Belluscio</w:t>
      </w:r>
      <w:proofErr w:type="spellEnd"/>
      <w:r w:rsidRPr="005F6CE3">
        <w:rPr>
          <w:rFonts w:ascii="Times New Roman" w:eastAsia="Times New Roman" w:hAnsi="Times New Roman" w:cs="Times New Roman"/>
          <w:sz w:val="24"/>
          <w:szCs w:val="24"/>
          <w:lang w:eastAsia="es-AR"/>
        </w:rPr>
        <w:t>—, otro sustentado en el parentesco por afinidad —</w:t>
      </w:r>
      <w:proofErr w:type="spellStart"/>
      <w:r w:rsidRPr="005F6CE3">
        <w:rPr>
          <w:rFonts w:ascii="Times New Roman" w:eastAsia="Times New Roman" w:hAnsi="Times New Roman" w:cs="Times New Roman"/>
          <w:sz w:val="24"/>
          <w:szCs w:val="24"/>
          <w:lang w:eastAsia="es-AR"/>
        </w:rPr>
        <w:t>Zannoni</w:t>
      </w:r>
      <w:proofErr w:type="spellEnd"/>
      <w:r w:rsidRPr="005F6CE3">
        <w:rPr>
          <w:rFonts w:ascii="Times New Roman" w:eastAsia="Times New Roman" w:hAnsi="Times New Roman" w:cs="Times New Roman"/>
          <w:sz w:val="24"/>
          <w:szCs w:val="24"/>
          <w:lang w:eastAsia="es-AR"/>
        </w:rPr>
        <w:t xml:space="preserve">, Salas, </w:t>
      </w:r>
      <w:proofErr w:type="spellStart"/>
      <w:r w:rsidRPr="005F6CE3">
        <w:rPr>
          <w:rFonts w:ascii="Times New Roman" w:eastAsia="Times New Roman" w:hAnsi="Times New Roman" w:cs="Times New Roman"/>
          <w:sz w:val="24"/>
          <w:szCs w:val="24"/>
          <w:lang w:eastAsia="es-AR"/>
        </w:rPr>
        <w:t>Tavip</w:t>
      </w:r>
      <w:proofErr w:type="spellEnd"/>
      <w:r w:rsidRPr="005F6CE3">
        <w:rPr>
          <w:rFonts w:ascii="Times New Roman" w:eastAsia="Times New Roman" w:hAnsi="Times New Roman" w:cs="Times New Roman"/>
          <w:sz w:val="24"/>
          <w:szCs w:val="24"/>
          <w:lang w:eastAsia="es-AR"/>
        </w:rPr>
        <w:t xml:space="preserve">, </w:t>
      </w:r>
      <w:proofErr w:type="spellStart"/>
      <w:r w:rsidRPr="005F6CE3">
        <w:rPr>
          <w:rFonts w:ascii="Times New Roman" w:eastAsia="Times New Roman" w:hAnsi="Times New Roman" w:cs="Times New Roman"/>
          <w:sz w:val="24"/>
          <w:szCs w:val="24"/>
          <w:lang w:eastAsia="es-AR"/>
        </w:rPr>
        <w:t>Vanella</w:t>
      </w:r>
      <w:proofErr w:type="spellEnd"/>
      <w:r w:rsidRPr="005F6CE3">
        <w:rPr>
          <w:rFonts w:ascii="Times New Roman" w:eastAsia="Times New Roman" w:hAnsi="Times New Roman" w:cs="Times New Roman"/>
          <w:sz w:val="24"/>
          <w:szCs w:val="24"/>
          <w:lang w:eastAsia="es-AR"/>
        </w:rPr>
        <w:t xml:space="preserve">—. A su vez no faltó la doctrina que ha abrevado de ambas nociones, tal los casos de Martínez Paz, </w:t>
      </w:r>
      <w:proofErr w:type="spellStart"/>
      <w:r w:rsidRPr="005F6CE3">
        <w:rPr>
          <w:rFonts w:ascii="Times New Roman" w:eastAsia="Times New Roman" w:hAnsi="Times New Roman" w:cs="Times New Roman"/>
          <w:sz w:val="24"/>
          <w:szCs w:val="24"/>
          <w:lang w:eastAsia="es-AR"/>
        </w:rPr>
        <w:t>Maffía</w:t>
      </w:r>
      <w:proofErr w:type="spellEnd"/>
      <w:r w:rsidRPr="005F6CE3">
        <w:rPr>
          <w:rFonts w:ascii="Times New Roman" w:eastAsia="Times New Roman" w:hAnsi="Times New Roman" w:cs="Times New Roman"/>
          <w:sz w:val="24"/>
          <w:szCs w:val="24"/>
          <w:lang w:eastAsia="es-AR"/>
        </w:rPr>
        <w:t xml:space="preserve">, </w:t>
      </w:r>
      <w:proofErr w:type="spellStart"/>
      <w:r w:rsidRPr="005F6CE3">
        <w:rPr>
          <w:rFonts w:ascii="Times New Roman" w:eastAsia="Times New Roman" w:hAnsi="Times New Roman" w:cs="Times New Roman"/>
          <w:sz w:val="24"/>
          <w:szCs w:val="24"/>
          <w:lang w:eastAsia="es-AR"/>
        </w:rPr>
        <w:t>Llambías</w:t>
      </w:r>
      <w:proofErr w:type="spellEnd"/>
      <w:r w:rsidRPr="005F6CE3">
        <w:rPr>
          <w:rFonts w:ascii="Times New Roman" w:eastAsia="Times New Roman" w:hAnsi="Times New Roman" w:cs="Times New Roman"/>
          <w:sz w:val="24"/>
          <w:szCs w:val="24"/>
          <w:lang w:eastAsia="es-AR"/>
        </w:rPr>
        <w:t xml:space="preserve">, Méndez Costa, </w:t>
      </w:r>
      <w:proofErr w:type="spellStart"/>
      <w:r w:rsidRPr="005F6CE3">
        <w:rPr>
          <w:rFonts w:ascii="Times New Roman" w:eastAsia="Times New Roman" w:hAnsi="Times New Roman" w:cs="Times New Roman"/>
          <w:sz w:val="24"/>
          <w:szCs w:val="24"/>
          <w:lang w:eastAsia="es-AR"/>
        </w:rPr>
        <w:t>Guastavino</w:t>
      </w:r>
      <w:proofErr w:type="spellEnd"/>
      <w:r w:rsidRPr="005F6CE3">
        <w:rPr>
          <w:rFonts w:ascii="Times New Roman" w:eastAsia="Times New Roman" w:hAnsi="Times New Roman" w:cs="Times New Roman"/>
          <w:sz w:val="24"/>
          <w:szCs w:val="24"/>
          <w:lang w:eastAsia="es-AR"/>
        </w:rPr>
        <w:t xml:space="preserve">, Vidal </w:t>
      </w:r>
      <w:proofErr w:type="spellStart"/>
      <w:r w:rsidRPr="005F6CE3">
        <w:rPr>
          <w:rFonts w:ascii="Times New Roman" w:eastAsia="Times New Roman" w:hAnsi="Times New Roman" w:cs="Times New Roman"/>
          <w:sz w:val="24"/>
          <w:szCs w:val="24"/>
          <w:lang w:eastAsia="es-AR"/>
        </w:rPr>
        <w:t>Taquini</w:t>
      </w:r>
      <w:proofErr w:type="spellEnd"/>
      <w:r w:rsidRPr="005F6CE3">
        <w:rPr>
          <w:rFonts w:ascii="Times New Roman" w:eastAsia="Times New Roman" w:hAnsi="Times New Roman" w:cs="Times New Roman"/>
          <w:sz w:val="24"/>
          <w:szCs w:val="24"/>
          <w:lang w:eastAsia="es-AR"/>
        </w:rPr>
        <w:t xml:space="preserve">, López del Carril y </w:t>
      </w:r>
      <w:proofErr w:type="spellStart"/>
      <w:r w:rsidRPr="005F6CE3">
        <w:rPr>
          <w:rFonts w:ascii="Times New Roman" w:eastAsia="Times New Roman" w:hAnsi="Times New Roman" w:cs="Times New Roman"/>
          <w:sz w:val="24"/>
          <w:szCs w:val="24"/>
          <w:lang w:eastAsia="es-AR"/>
        </w:rPr>
        <w:t>Azpiri</w:t>
      </w:r>
      <w:proofErr w:type="spellEnd"/>
      <w:r w:rsidRPr="005F6CE3">
        <w:rPr>
          <w:rFonts w:ascii="Times New Roman" w:eastAsia="Times New Roman" w:hAnsi="Times New Roman" w:cs="Times New Roman"/>
          <w:sz w:val="24"/>
          <w:szCs w:val="24"/>
          <w:lang w:eastAsia="es-AR"/>
        </w:rPr>
        <w:t xml:space="preserve"> (cfr. el estudio y citas efectuadas por </w:t>
      </w:r>
      <w:proofErr w:type="spellStart"/>
      <w:r w:rsidRPr="005F6CE3">
        <w:rPr>
          <w:rFonts w:ascii="Times New Roman" w:eastAsia="Times New Roman" w:hAnsi="Times New Roman" w:cs="Times New Roman"/>
          <w:sz w:val="24"/>
          <w:szCs w:val="24"/>
          <w:lang w:eastAsia="es-AR"/>
        </w:rPr>
        <w:t>Famá</w:t>
      </w:r>
      <w:proofErr w:type="spellEnd"/>
      <w:r w:rsidRPr="005F6CE3">
        <w:rPr>
          <w:rFonts w:ascii="Times New Roman" w:eastAsia="Times New Roman" w:hAnsi="Times New Roman" w:cs="Times New Roman"/>
          <w:sz w:val="24"/>
          <w:szCs w:val="24"/>
          <w:lang w:eastAsia="es-AR"/>
        </w:rPr>
        <w:t xml:space="preserve">, María Victoria, Inconstitucionalidad de la figura de la "nuera viuda sin hijos" a la luz del principio de la no discriminación: necesaria mirada desde la perspectiva del género, RDF, 2010-I, p. 164; Ocampo, Carlos Guillermo, La nuera viuda exclusión sucesoria del cónyuge, </w:t>
      </w:r>
      <w:proofErr w:type="spellStart"/>
      <w:r w:rsidRPr="005F6CE3">
        <w:rPr>
          <w:rFonts w:ascii="Times New Roman" w:eastAsia="Times New Roman" w:hAnsi="Times New Roman" w:cs="Times New Roman"/>
          <w:sz w:val="24"/>
          <w:szCs w:val="24"/>
          <w:lang w:eastAsia="es-AR"/>
        </w:rPr>
        <w:t>Abeledo</w:t>
      </w:r>
      <w:proofErr w:type="spellEnd"/>
      <w:r w:rsidRPr="005F6CE3">
        <w:rPr>
          <w:rFonts w:ascii="Times New Roman" w:eastAsia="Times New Roman" w:hAnsi="Times New Roman" w:cs="Times New Roman"/>
          <w:sz w:val="24"/>
          <w:szCs w:val="24"/>
          <w:lang w:eastAsia="es-AR"/>
        </w:rPr>
        <w:t xml:space="preserve"> </w:t>
      </w:r>
      <w:proofErr w:type="spellStart"/>
      <w:r w:rsidRPr="005F6CE3">
        <w:rPr>
          <w:rFonts w:ascii="Times New Roman" w:eastAsia="Times New Roman" w:hAnsi="Times New Roman" w:cs="Times New Roman"/>
          <w:sz w:val="24"/>
          <w:szCs w:val="24"/>
          <w:lang w:eastAsia="es-AR"/>
        </w:rPr>
        <w:t>Perrot</w:t>
      </w:r>
      <w:proofErr w:type="spellEnd"/>
      <w:r w:rsidRPr="005F6CE3">
        <w:rPr>
          <w:rFonts w:ascii="Times New Roman" w:eastAsia="Times New Roman" w:hAnsi="Times New Roman" w:cs="Times New Roman"/>
          <w:sz w:val="24"/>
          <w:szCs w:val="24"/>
          <w:lang w:eastAsia="es-AR"/>
        </w:rPr>
        <w:t>, Buenos Aires, 1997).</w:t>
      </w:r>
    </w:p>
    <w:p w:rsidR="005F6CE3" w:rsidRPr="005F6CE3" w:rsidRDefault="005F6CE3" w:rsidP="005F6CE3">
      <w:pPr>
        <w:spacing w:before="100" w:beforeAutospacing="1" w:after="100" w:afterAutospacing="1" w:line="240" w:lineRule="auto"/>
        <w:rPr>
          <w:rFonts w:ascii="Times New Roman" w:eastAsia="Times New Roman" w:hAnsi="Times New Roman" w:cs="Times New Roman"/>
          <w:sz w:val="24"/>
          <w:szCs w:val="24"/>
          <w:lang w:eastAsia="es-AR"/>
        </w:rPr>
      </w:pPr>
      <w:r w:rsidRPr="005F6CE3">
        <w:rPr>
          <w:rFonts w:ascii="Times New Roman" w:eastAsia="Times New Roman" w:hAnsi="Times New Roman" w:cs="Times New Roman"/>
          <w:sz w:val="24"/>
          <w:szCs w:val="24"/>
          <w:lang w:eastAsia="es-AR"/>
        </w:rPr>
        <w:t xml:space="preserve">En suma, y como quiera que sea, claro está entonces que dos criterios sustentan la finalidad de la norma: la asistencia de la mujer viuda sin hijos y el parentesco por afinidad entre la nuera y sus suegros. Lo que debe ponderarse, pues, es si a la luz de nuestro derecho positivo ampliamente considerado justifican aquellos argumentos que se efectúe una diferenciación en el llamamiento sucesorio que se sustente en el sexo de la persona; es decir, si es constitucionalmente admisible que el yerno viudo sin hijos se vea impedido de suceder a los padres de su esposa </w:t>
      </w:r>
      <w:proofErr w:type="spellStart"/>
      <w:r w:rsidRPr="005F6CE3">
        <w:rPr>
          <w:rFonts w:ascii="Times New Roman" w:eastAsia="Times New Roman" w:hAnsi="Times New Roman" w:cs="Times New Roman"/>
          <w:sz w:val="24"/>
          <w:szCs w:val="24"/>
          <w:lang w:eastAsia="es-AR"/>
        </w:rPr>
        <w:t>prefallecida</w:t>
      </w:r>
      <w:proofErr w:type="spellEnd"/>
      <w:r w:rsidRPr="005F6CE3">
        <w:rPr>
          <w:rFonts w:ascii="Times New Roman" w:eastAsia="Times New Roman" w:hAnsi="Times New Roman" w:cs="Times New Roman"/>
          <w:sz w:val="24"/>
          <w:szCs w:val="24"/>
          <w:lang w:eastAsia="es-AR"/>
        </w:rPr>
        <w:t>.</w:t>
      </w:r>
    </w:p>
    <w:p w:rsidR="005F6CE3" w:rsidRPr="005F6CE3" w:rsidRDefault="005F6CE3" w:rsidP="005F6CE3">
      <w:pPr>
        <w:spacing w:before="100" w:beforeAutospacing="1" w:after="100" w:afterAutospacing="1" w:line="240" w:lineRule="auto"/>
        <w:rPr>
          <w:rFonts w:ascii="Times New Roman" w:eastAsia="Times New Roman" w:hAnsi="Times New Roman" w:cs="Times New Roman"/>
          <w:sz w:val="24"/>
          <w:szCs w:val="24"/>
          <w:lang w:eastAsia="es-AR"/>
        </w:rPr>
      </w:pPr>
      <w:r w:rsidRPr="005F6CE3">
        <w:rPr>
          <w:rFonts w:ascii="Times New Roman" w:eastAsia="Times New Roman" w:hAnsi="Times New Roman" w:cs="Times New Roman"/>
          <w:sz w:val="24"/>
          <w:szCs w:val="24"/>
          <w:lang w:eastAsia="es-AR"/>
        </w:rPr>
        <w:t>VI.- En el test de constitucionalidad deberán ponderarse dos cuestiones:</w:t>
      </w:r>
    </w:p>
    <w:p w:rsidR="005F6CE3" w:rsidRPr="005F6CE3" w:rsidRDefault="005F6CE3" w:rsidP="005F6CE3">
      <w:pPr>
        <w:spacing w:before="100" w:beforeAutospacing="1" w:after="100" w:afterAutospacing="1" w:line="240" w:lineRule="auto"/>
        <w:rPr>
          <w:rFonts w:ascii="Times New Roman" w:eastAsia="Times New Roman" w:hAnsi="Times New Roman" w:cs="Times New Roman"/>
          <w:sz w:val="24"/>
          <w:szCs w:val="24"/>
          <w:lang w:eastAsia="es-AR"/>
        </w:rPr>
      </w:pPr>
      <w:r w:rsidRPr="005F6CE3">
        <w:rPr>
          <w:rFonts w:ascii="Times New Roman" w:eastAsia="Times New Roman" w:hAnsi="Times New Roman" w:cs="Times New Roman"/>
          <w:sz w:val="24"/>
          <w:szCs w:val="24"/>
          <w:lang w:eastAsia="es-AR"/>
        </w:rPr>
        <w:t>Por una parte, que desde la implementación de la norma en citó hasta el presente el texto de la Constitución Nacional ha sido modificado significativamente incorporando en él instrumentos internacionales (art. 75, inc. 22) que prohíben explícitamente las discriminaciones arbitrarias —Declaración Americana de Derechos y Deberes del Hombre (art. 2), Declaración Universal de Derechos Humanos (art. 7), Convención Americana sobre Derechos Humanos (art. 24), Convención Internacional sobre la eliminación de todas las formas de discriminación en contra de la mujer, Pacto Internacional de Derechos Civiles y Políticos (art. 1 y 2), Convención sobre los Derechos del Niño (art. 2 y 30)—.</w:t>
      </w:r>
    </w:p>
    <w:p w:rsidR="005F6CE3" w:rsidRPr="005F6CE3" w:rsidRDefault="005F6CE3" w:rsidP="005F6CE3">
      <w:pPr>
        <w:spacing w:before="100" w:beforeAutospacing="1" w:after="100" w:afterAutospacing="1" w:line="240" w:lineRule="auto"/>
        <w:rPr>
          <w:rFonts w:ascii="Times New Roman" w:eastAsia="Times New Roman" w:hAnsi="Times New Roman" w:cs="Times New Roman"/>
          <w:sz w:val="24"/>
          <w:szCs w:val="24"/>
          <w:lang w:eastAsia="es-AR"/>
        </w:rPr>
      </w:pPr>
      <w:r w:rsidRPr="005F6CE3">
        <w:rPr>
          <w:rFonts w:ascii="Times New Roman" w:eastAsia="Times New Roman" w:hAnsi="Times New Roman" w:cs="Times New Roman"/>
          <w:sz w:val="24"/>
          <w:szCs w:val="24"/>
          <w:lang w:eastAsia="es-AR"/>
        </w:rPr>
        <w:t>Por otra parte, que se trata de un precepto que debe ser sometido a un escrutinio más severo dado que pertenece a la categoría de normas sospechadas de inconstitucionales; como lo son aquellas que contienen pautas diferenciadoras sustentadas en motivos de sexo, raza, religión, extranjería y origen nacional, en las cuales se presume la afectación de los principios de igualdad ante la ley y de no discriminación y que, por tal motivo pierden la presunción de validez, invirtiendo a su respecto la carga de la prueba o, simplemente, la carga de la justificación. Vale decir, que dicha carga incumbirá a la parte que intente valerse o beneficiarse de aquellas normas (la doctrina se origina en la nota al pie de página n° 4 –—</w:t>
      </w:r>
      <w:proofErr w:type="spellStart"/>
      <w:r w:rsidRPr="005F6CE3">
        <w:rPr>
          <w:rFonts w:ascii="Times New Roman" w:eastAsia="Times New Roman" w:hAnsi="Times New Roman" w:cs="Times New Roman"/>
          <w:sz w:val="24"/>
          <w:szCs w:val="24"/>
          <w:lang w:eastAsia="es-AR"/>
        </w:rPr>
        <w:t>footnote</w:t>
      </w:r>
      <w:proofErr w:type="spellEnd"/>
      <w:r w:rsidRPr="005F6CE3">
        <w:rPr>
          <w:rFonts w:ascii="Times New Roman" w:eastAsia="Times New Roman" w:hAnsi="Times New Roman" w:cs="Times New Roman"/>
          <w:sz w:val="24"/>
          <w:szCs w:val="24"/>
          <w:lang w:eastAsia="es-AR"/>
        </w:rPr>
        <w:t xml:space="preserve"> </w:t>
      </w:r>
      <w:proofErr w:type="spellStart"/>
      <w:r w:rsidRPr="005F6CE3">
        <w:rPr>
          <w:rFonts w:ascii="Times New Roman" w:eastAsia="Times New Roman" w:hAnsi="Times New Roman" w:cs="Times New Roman"/>
          <w:sz w:val="24"/>
          <w:szCs w:val="24"/>
          <w:lang w:eastAsia="es-AR"/>
        </w:rPr>
        <w:t>four</w:t>
      </w:r>
      <w:proofErr w:type="spellEnd"/>
      <w:r w:rsidRPr="005F6CE3">
        <w:rPr>
          <w:rFonts w:ascii="Times New Roman" w:eastAsia="Times New Roman" w:hAnsi="Times New Roman" w:cs="Times New Roman"/>
          <w:sz w:val="24"/>
          <w:szCs w:val="24"/>
          <w:lang w:eastAsia="es-AR"/>
        </w:rPr>
        <w:t xml:space="preserve">— del precedente norteamericano U.S. v. </w:t>
      </w:r>
      <w:proofErr w:type="spellStart"/>
      <w:r w:rsidRPr="005F6CE3">
        <w:rPr>
          <w:rFonts w:ascii="Times New Roman" w:eastAsia="Times New Roman" w:hAnsi="Times New Roman" w:cs="Times New Roman"/>
          <w:sz w:val="24"/>
          <w:szCs w:val="24"/>
          <w:lang w:eastAsia="es-AR"/>
        </w:rPr>
        <w:t>Carolene</w:t>
      </w:r>
      <w:proofErr w:type="spellEnd"/>
      <w:r w:rsidRPr="005F6CE3">
        <w:rPr>
          <w:rFonts w:ascii="Times New Roman" w:eastAsia="Times New Roman" w:hAnsi="Times New Roman" w:cs="Times New Roman"/>
          <w:sz w:val="24"/>
          <w:szCs w:val="24"/>
          <w:lang w:eastAsia="es-AR"/>
        </w:rPr>
        <w:t xml:space="preserve"> </w:t>
      </w:r>
      <w:proofErr w:type="spellStart"/>
      <w:r w:rsidRPr="005F6CE3">
        <w:rPr>
          <w:rFonts w:ascii="Times New Roman" w:eastAsia="Times New Roman" w:hAnsi="Times New Roman" w:cs="Times New Roman"/>
          <w:sz w:val="24"/>
          <w:szCs w:val="24"/>
          <w:lang w:eastAsia="es-AR"/>
        </w:rPr>
        <w:t>Productis</w:t>
      </w:r>
      <w:proofErr w:type="spellEnd"/>
      <w:r w:rsidRPr="005F6CE3">
        <w:rPr>
          <w:rFonts w:ascii="Times New Roman" w:eastAsia="Times New Roman" w:hAnsi="Times New Roman" w:cs="Times New Roman"/>
          <w:sz w:val="24"/>
          <w:szCs w:val="24"/>
          <w:lang w:eastAsia="es-AR"/>
        </w:rPr>
        <w:t xml:space="preserve"> Co. 304, US 144, 1938; </w:t>
      </w:r>
      <w:proofErr w:type="spellStart"/>
      <w:r w:rsidRPr="005F6CE3">
        <w:rPr>
          <w:rFonts w:ascii="Times New Roman" w:eastAsia="Times New Roman" w:hAnsi="Times New Roman" w:cs="Times New Roman"/>
          <w:sz w:val="24"/>
          <w:szCs w:val="24"/>
          <w:lang w:eastAsia="es-AR"/>
        </w:rPr>
        <w:t>Ibarlucía</w:t>
      </w:r>
      <w:proofErr w:type="spellEnd"/>
      <w:r w:rsidRPr="005F6CE3">
        <w:rPr>
          <w:rFonts w:ascii="Times New Roman" w:eastAsia="Times New Roman" w:hAnsi="Times New Roman" w:cs="Times New Roman"/>
          <w:sz w:val="24"/>
          <w:szCs w:val="24"/>
          <w:lang w:eastAsia="es-AR"/>
        </w:rPr>
        <w:t>, Emilio A., Acerca de los nuevos escrutinios de control dé constitucionalidad, E.D.C.O. diario de 14/07/2006; Bianchi, Alberto B., El derecho constitucional en la jurisprudencia de la Corte Suprema entre 2003 y 2007, LA LEY, 2008-B, 717).</w:t>
      </w:r>
    </w:p>
    <w:p w:rsidR="005F6CE3" w:rsidRPr="005F6CE3" w:rsidRDefault="005F6CE3" w:rsidP="005F6CE3">
      <w:pPr>
        <w:spacing w:before="100" w:beforeAutospacing="1" w:after="100" w:afterAutospacing="1" w:line="240" w:lineRule="auto"/>
        <w:rPr>
          <w:rFonts w:ascii="Times New Roman" w:eastAsia="Times New Roman" w:hAnsi="Times New Roman" w:cs="Times New Roman"/>
          <w:sz w:val="24"/>
          <w:szCs w:val="24"/>
          <w:lang w:eastAsia="es-AR"/>
        </w:rPr>
      </w:pPr>
      <w:r w:rsidRPr="005F6CE3">
        <w:rPr>
          <w:rFonts w:ascii="Times New Roman" w:eastAsia="Times New Roman" w:hAnsi="Times New Roman" w:cs="Times New Roman"/>
          <w:sz w:val="24"/>
          <w:szCs w:val="24"/>
          <w:lang w:eastAsia="es-AR"/>
        </w:rPr>
        <w:t>El criterio que se acaba de exponer no es otro que el impuesto en la doctrina jurisprudencial de la Corte Suprema desde hace tiempo ("</w:t>
      </w:r>
      <w:proofErr w:type="spellStart"/>
      <w:r w:rsidRPr="005F6CE3">
        <w:rPr>
          <w:rFonts w:ascii="Times New Roman" w:eastAsia="Times New Roman" w:hAnsi="Times New Roman" w:cs="Times New Roman"/>
          <w:sz w:val="24"/>
          <w:szCs w:val="24"/>
          <w:lang w:eastAsia="es-AR"/>
        </w:rPr>
        <w:t>Radulescu</w:t>
      </w:r>
      <w:proofErr w:type="spellEnd"/>
      <w:r w:rsidRPr="005F6CE3">
        <w:rPr>
          <w:rFonts w:ascii="Times New Roman" w:eastAsia="Times New Roman" w:hAnsi="Times New Roman" w:cs="Times New Roman"/>
          <w:sz w:val="24"/>
          <w:szCs w:val="24"/>
          <w:lang w:eastAsia="es-AR"/>
        </w:rPr>
        <w:t>" de 1974, Fallos 290:83; "</w:t>
      </w:r>
      <w:proofErr w:type="spellStart"/>
      <w:r w:rsidRPr="005F6CE3">
        <w:rPr>
          <w:rFonts w:ascii="Times New Roman" w:eastAsia="Times New Roman" w:hAnsi="Times New Roman" w:cs="Times New Roman"/>
          <w:sz w:val="24"/>
          <w:szCs w:val="24"/>
          <w:lang w:eastAsia="es-AR"/>
        </w:rPr>
        <w:t>Arenzón</w:t>
      </w:r>
      <w:proofErr w:type="spellEnd"/>
      <w:r w:rsidRPr="005F6CE3">
        <w:rPr>
          <w:rFonts w:ascii="Times New Roman" w:eastAsia="Times New Roman" w:hAnsi="Times New Roman" w:cs="Times New Roman"/>
          <w:sz w:val="24"/>
          <w:szCs w:val="24"/>
          <w:lang w:eastAsia="es-AR"/>
        </w:rPr>
        <w:t>", Fallos 306:400; "</w:t>
      </w:r>
      <w:proofErr w:type="spellStart"/>
      <w:r w:rsidRPr="005F6CE3">
        <w:rPr>
          <w:rFonts w:ascii="Times New Roman" w:eastAsia="Times New Roman" w:hAnsi="Times New Roman" w:cs="Times New Roman"/>
          <w:sz w:val="24"/>
          <w:szCs w:val="24"/>
          <w:lang w:eastAsia="es-AR"/>
        </w:rPr>
        <w:t>Repetto</w:t>
      </w:r>
      <w:proofErr w:type="spellEnd"/>
      <w:r w:rsidRPr="005F6CE3">
        <w:rPr>
          <w:rFonts w:ascii="Times New Roman" w:eastAsia="Times New Roman" w:hAnsi="Times New Roman" w:cs="Times New Roman"/>
          <w:sz w:val="24"/>
          <w:szCs w:val="24"/>
          <w:lang w:eastAsia="es-AR"/>
        </w:rPr>
        <w:t xml:space="preserve">, María Inés M. c. Provincia de Buenos Aires", Fallos 311:2272; </w:t>
      </w:r>
      <w:r w:rsidRPr="005F6CE3">
        <w:rPr>
          <w:rFonts w:ascii="Times New Roman" w:eastAsia="Times New Roman" w:hAnsi="Times New Roman" w:cs="Times New Roman"/>
          <w:sz w:val="24"/>
          <w:szCs w:val="24"/>
          <w:lang w:eastAsia="es-AR"/>
        </w:rPr>
        <w:lastRenderedPageBreak/>
        <w:t xml:space="preserve">"Calvo y </w:t>
      </w:r>
      <w:proofErr w:type="spellStart"/>
      <w:r w:rsidRPr="005F6CE3">
        <w:rPr>
          <w:rFonts w:ascii="Times New Roman" w:eastAsia="Times New Roman" w:hAnsi="Times New Roman" w:cs="Times New Roman"/>
          <w:sz w:val="24"/>
          <w:szCs w:val="24"/>
          <w:lang w:eastAsia="es-AR"/>
        </w:rPr>
        <w:t>Pesini</w:t>
      </w:r>
      <w:proofErr w:type="spellEnd"/>
      <w:r w:rsidRPr="005F6CE3">
        <w:rPr>
          <w:rFonts w:ascii="Times New Roman" w:eastAsia="Times New Roman" w:hAnsi="Times New Roman" w:cs="Times New Roman"/>
          <w:sz w:val="24"/>
          <w:szCs w:val="24"/>
          <w:lang w:eastAsia="es-AR"/>
        </w:rPr>
        <w:t>, Rocío c. Provincia de Córdoba s/amparo", Fallos 321:194; "</w:t>
      </w:r>
      <w:proofErr w:type="spellStart"/>
      <w:r w:rsidRPr="005F6CE3">
        <w:rPr>
          <w:rFonts w:ascii="Times New Roman" w:eastAsia="Times New Roman" w:hAnsi="Times New Roman" w:cs="Times New Roman"/>
          <w:sz w:val="24"/>
          <w:szCs w:val="24"/>
          <w:lang w:eastAsia="es-AR"/>
        </w:rPr>
        <w:t>Hooft</w:t>
      </w:r>
      <w:proofErr w:type="spellEnd"/>
      <w:r w:rsidRPr="005F6CE3">
        <w:rPr>
          <w:rFonts w:ascii="Times New Roman" w:eastAsia="Times New Roman" w:hAnsi="Times New Roman" w:cs="Times New Roman"/>
          <w:sz w:val="24"/>
          <w:szCs w:val="24"/>
          <w:lang w:eastAsia="es-AR"/>
        </w:rPr>
        <w:t>", Fallos 327:5118; "</w:t>
      </w:r>
      <w:proofErr w:type="spellStart"/>
      <w:r w:rsidRPr="005F6CE3">
        <w:rPr>
          <w:rFonts w:ascii="Times New Roman" w:eastAsia="Times New Roman" w:hAnsi="Times New Roman" w:cs="Times New Roman"/>
          <w:sz w:val="24"/>
          <w:szCs w:val="24"/>
          <w:lang w:eastAsia="es-AR"/>
        </w:rPr>
        <w:t>Gottschau</w:t>
      </w:r>
      <w:proofErr w:type="spellEnd"/>
      <w:r w:rsidRPr="005F6CE3">
        <w:rPr>
          <w:rFonts w:ascii="Times New Roman" w:eastAsia="Times New Roman" w:hAnsi="Times New Roman" w:cs="Times New Roman"/>
          <w:sz w:val="24"/>
          <w:szCs w:val="24"/>
          <w:lang w:eastAsia="es-AR"/>
        </w:rPr>
        <w:t xml:space="preserve">", Fallos 329:2986; "Recurso de hecho deducido por Luisa Aguilera </w:t>
      </w:r>
      <w:proofErr w:type="spellStart"/>
      <w:r w:rsidRPr="005F6CE3">
        <w:rPr>
          <w:rFonts w:ascii="Times New Roman" w:eastAsia="Times New Roman" w:hAnsi="Times New Roman" w:cs="Times New Roman"/>
          <w:sz w:val="24"/>
          <w:szCs w:val="24"/>
          <w:lang w:eastAsia="es-AR"/>
        </w:rPr>
        <w:t>Mariaca</w:t>
      </w:r>
      <w:proofErr w:type="spellEnd"/>
      <w:r w:rsidRPr="005F6CE3">
        <w:rPr>
          <w:rFonts w:ascii="Times New Roman" w:eastAsia="Times New Roman" w:hAnsi="Times New Roman" w:cs="Times New Roman"/>
          <w:sz w:val="24"/>
          <w:szCs w:val="24"/>
          <w:lang w:eastAsia="es-AR"/>
        </w:rPr>
        <w:t xml:space="preserve"> y Antonio Reyes Barja en representación de D. R. A. en la causa R. A., D. c. Estado Nacional", Fallos 330:3853; "Mantecón Valdés", Fallos 331:1715).</w:t>
      </w:r>
    </w:p>
    <w:p w:rsidR="005F6CE3" w:rsidRPr="005F6CE3" w:rsidRDefault="005F6CE3" w:rsidP="005F6CE3">
      <w:pPr>
        <w:spacing w:before="100" w:beforeAutospacing="1" w:after="100" w:afterAutospacing="1" w:line="240" w:lineRule="auto"/>
        <w:rPr>
          <w:rFonts w:ascii="Times New Roman" w:eastAsia="Times New Roman" w:hAnsi="Times New Roman" w:cs="Times New Roman"/>
          <w:sz w:val="24"/>
          <w:szCs w:val="24"/>
          <w:lang w:eastAsia="es-AR"/>
        </w:rPr>
      </w:pPr>
      <w:r w:rsidRPr="005F6CE3">
        <w:rPr>
          <w:rFonts w:ascii="Times New Roman" w:eastAsia="Times New Roman" w:hAnsi="Times New Roman" w:cs="Times New Roman"/>
          <w:sz w:val="24"/>
          <w:szCs w:val="24"/>
          <w:lang w:eastAsia="es-AR"/>
        </w:rPr>
        <w:t>VII.- Es evidente, no siendo necesario ahondar en demasiadas justificaciones al respecto, que si el fundamento de la norma es el parentesco por afinidad, no existen razones que permitan concluir que resulta válida la exclusión del hombre y la inclusión de la (mujer en el llamamiento en estudio. En este aspecto, la norma no sólo sería contraria al ordenamiento constitucional (art. 16), sino que aparecería dispar en el contexto del régimen Sucesorio vigente en Argentina; el que no efectúa, fuera del supuesto en análisis, distinciones sustentadas en el sexo de la persona.</w:t>
      </w:r>
    </w:p>
    <w:p w:rsidR="005F6CE3" w:rsidRPr="005F6CE3" w:rsidRDefault="005F6CE3" w:rsidP="005F6CE3">
      <w:pPr>
        <w:spacing w:before="100" w:beforeAutospacing="1" w:after="100" w:afterAutospacing="1" w:line="240" w:lineRule="auto"/>
        <w:rPr>
          <w:rFonts w:ascii="Times New Roman" w:eastAsia="Times New Roman" w:hAnsi="Times New Roman" w:cs="Times New Roman"/>
          <w:sz w:val="24"/>
          <w:szCs w:val="24"/>
          <w:lang w:eastAsia="es-AR"/>
        </w:rPr>
      </w:pPr>
      <w:r w:rsidRPr="005F6CE3">
        <w:rPr>
          <w:rFonts w:ascii="Times New Roman" w:eastAsia="Times New Roman" w:hAnsi="Times New Roman" w:cs="Times New Roman"/>
          <w:sz w:val="24"/>
          <w:szCs w:val="24"/>
          <w:lang w:eastAsia="es-AR"/>
        </w:rPr>
        <w:t>En lo referido al fundamento asistencialista, que abreva de la idea de proteger a quien se presume en una situación de debilidad o desprotección, debe anotarse que la aplicación del el principio de no discriminación impone que se le brinde igualdad de trato a quienes se encuentren en iguales circunstancias (</w:t>
      </w:r>
      <w:proofErr w:type="spellStart"/>
      <w:r w:rsidRPr="005F6CE3">
        <w:rPr>
          <w:rFonts w:ascii="Times New Roman" w:eastAsia="Times New Roman" w:hAnsi="Times New Roman" w:cs="Times New Roman"/>
          <w:sz w:val="24"/>
          <w:szCs w:val="24"/>
          <w:lang w:eastAsia="es-AR"/>
        </w:rPr>
        <w:t>Bidart</w:t>
      </w:r>
      <w:proofErr w:type="spellEnd"/>
      <w:r w:rsidRPr="005F6CE3">
        <w:rPr>
          <w:rFonts w:ascii="Times New Roman" w:eastAsia="Times New Roman" w:hAnsi="Times New Roman" w:cs="Times New Roman"/>
          <w:sz w:val="24"/>
          <w:szCs w:val="24"/>
          <w:lang w:eastAsia="es-AR"/>
        </w:rPr>
        <w:t xml:space="preserve"> Campos, Germán J., "Manual de la Constitución reformada", Tomo I, Buenos Aires, ed. </w:t>
      </w:r>
      <w:proofErr w:type="spellStart"/>
      <w:r w:rsidRPr="005F6CE3">
        <w:rPr>
          <w:rFonts w:ascii="Times New Roman" w:eastAsia="Times New Roman" w:hAnsi="Times New Roman" w:cs="Times New Roman"/>
          <w:sz w:val="24"/>
          <w:szCs w:val="24"/>
          <w:lang w:eastAsia="es-AR"/>
        </w:rPr>
        <w:t>Ediar</w:t>
      </w:r>
      <w:proofErr w:type="spellEnd"/>
      <w:r w:rsidRPr="005F6CE3">
        <w:rPr>
          <w:rFonts w:ascii="Times New Roman" w:eastAsia="Times New Roman" w:hAnsi="Times New Roman" w:cs="Times New Roman"/>
          <w:sz w:val="24"/>
          <w:szCs w:val="24"/>
          <w:lang w:eastAsia="es-AR"/>
        </w:rPr>
        <w:t xml:space="preserve">, 1998, p. 366/7). Desde tal óptica, sin perjuicio de que lo lógico es que no todas las nueras viudas sin hijos se encontrarán en </w:t>
      </w:r>
      <w:proofErr w:type="spellStart"/>
      <w:r w:rsidRPr="005F6CE3">
        <w:rPr>
          <w:rFonts w:ascii="Times New Roman" w:eastAsia="Times New Roman" w:hAnsi="Times New Roman" w:cs="Times New Roman"/>
          <w:sz w:val="24"/>
          <w:szCs w:val="24"/>
          <w:lang w:eastAsia="es-AR"/>
        </w:rPr>
        <w:t>a</w:t>
      </w:r>
      <w:proofErr w:type="spellEnd"/>
      <w:r w:rsidRPr="005F6CE3">
        <w:rPr>
          <w:rFonts w:ascii="Times New Roman" w:eastAsia="Times New Roman" w:hAnsi="Times New Roman" w:cs="Times New Roman"/>
          <w:sz w:val="24"/>
          <w:szCs w:val="24"/>
          <w:lang w:eastAsia="es-AR"/>
        </w:rPr>
        <w:t xml:space="preserve"> misma situación —las habrá con capacidad económica—, tampoco existen motivos para pensar que, en algún supuesto, no necesitará la misma asistencia un yerno viudo sin hijos. Es decir, si todas las circunstancias son idénticas y la diferencia radica en el sexo, la discriminación aparecería como arbitraria.</w:t>
      </w:r>
    </w:p>
    <w:p w:rsidR="005F6CE3" w:rsidRPr="005F6CE3" w:rsidRDefault="005F6CE3" w:rsidP="005F6CE3">
      <w:pPr>
        <w:spacing w:before="100" w:beforeAutospacing="1" w:after="100" w:afterAutospacing="1" w:line="240" w:lineRule="auto"/>
        <w:rPr>
          <w:rFonts w:ascii="Times New Roman" w:eastAsia="Times New Roman" w:hAnsi="Times New Roman" w:cs="Times New Roman"/>
          <w:sz w:val="24"/>
          <w:szCs w:val="24"/>
          <w:lang w:eastAsia="es-AR"/>
        </w:rPr>
      </w:pPr>
      <w:r w:rsidRPr="005F6CE3">
        <w:rPr>
          <w:rFonts w:ascii="Times New Roman" w:eastAsia="Times New Roman" w:hAnsi="Times New Roman" w:cs="Times New Roman"/>
          <w:sz w:val="24"/>
          <w:szCs w:val="24"/>
          <w:lang w:eastAsia="es-AR"/>
        </w:rPr>
        <w:t xml:space="preserve">Es verdad que el fundamento primitivo de la norma era paliar una situación real de desigualdad en la que se encontraban inmersas la mayoría de las mujeres. Al respecto, bien dice </w:t>
      </w:r>
      <w:proofErr w:type="spellStart"/>
      <w:r w:rsidRPr="005F6CE3">
        <w:rPr>
          <w:rFonts w:ascii="Times New Roman" w:eastAsia="Times New Roman" w:hAnsi="Times New Roman" w:cs="Times New Roman"/>
          <w:sz w:val="24"/>
          <w:szCs w:val="24"/>
          <w:lang w:eastAsia="es-AR"/>
        </w:rPr>
        <w:t>Vanella</w:t>
      </w:r>
      <w:proofErr w:type="spellEnd"/>
      <w:r w:rsidRPr="005F6CE3">
        <w:rPr>
          <w:rFonts w:ascii="Times New Roman" w:eastAsia="Times New Roman" w:hAnsi="Times New Roman" w:cs="Times New Roman"/>
          <w:sz w:val="24"/>
          <w:szCs w:val="24"/>
          <w:lang w:eastAsia="es-AR"/>
        </w:rPr>
        <w:t xml:space="preserve"> que en "... la época de sanción de la reforma que incorporó el art. 3576 bis resultaba justa la distinción a favor de la mujer, pues si bien ésta había ido adquiriendo derechos civiles en virtud de la ley 11.357, todavía era considerada incapaz y requería de la venia o autorización de su marido para la realización de ciertos actos" (</w:t>
      </w:r>
      <w:proofErr w:type="spellStart"/>
      <w:r w:rsidRPr="005F6CE3">
        <w:rPr>
          <w:rFonts w:ascii="Times New Roman" w:eastAsia="Times New Roman" w:hAnsi="Times New Roman" w:cs="Times New Roman"/>
          <w:sz w:val="24"/>
          <w:szCs w:val="24"/>
          <w:lang w:eastAsia="es-AR"/>
        </w:rPr>
        <w:t>Vanella</w:t>
      </w:r>
      <w:proofErr w:type="spellEnd"/>
      <w:r w:rsidRPr="005F6CE3">
        <w:rPr>
          <w:rFonts w:ascii="Times New Roman" w:eastAsia="Times New Roman" w:hAnsi="Times New Roman" w:cs="Times New Roman"/>
          <w:sz w:val="24"/>
          <w:szCs w:val="24"/>
          <w:lang w:eastAsia="es-AR"/>
        </w:rPr>
        <w:t>, Vilma R., La falta de vocación sucesoria del yerno viudo. La diferenciación del sexo, LA LEY, 2009-E, 366). Sin embargo, claro está que la hermenéutica anotada no tiene vigencia en la actualidad.</w:t>
      </w:r>
    </w:p>
    <w:p w:rsidR="005F6CE3" w:rsidRPr="005F6CE3" w:rsidRDefault="005F6CE3" w:rsidP="005F6CE3">
      <w:pPr>
        <w:spacing w:before="100" w:beforeAutospacing="1" w:after="100" w:afterAutospacing="1" w:line="240" w:lineRule="auto"/>
        <w:rPr>
          <w:rFonts w:ascii="Times New Roman" w:eastAsia="Times New Roman" w:hAnsi="Times New Roman" w:cs="Times New Roman"/>
          <w:sz w:val="24"/>
          <w:szCs w:val="24"/>
          <w:lang w:eastAsia="es-AR"/>
        </w:rPr>
      </w:pPr>
      <w:r w:rsidRPr="005F6CE3">
        <w:rPr>
          <w:rFonts w:ascii="Times New Roman" w:eastAsia="Times New Roman" w:hAnsi="Times New Roman" w:cs="Times New Roman"/>
          <w:sz w:val="24"/>
          <w:szCs w:val="24"/>
          <w:lang w:eastAsia="es-AR"/>
        </w:rPr>
        <w:t>Es que el principio de igualdad jurídica de los cónyuges y la superposición de roles matrimoniales que trae consigo la posmodernidad jurídica —que deja de lado la atribución de roles diferenciados en razón del sexo— torna evidente que, lo que en otros tiempos constituía un mecanismo de protección, hoy ha devenido en una suerte de discriminación inversa que debe ser revisada teniendo en mira el nuevo bloque de constitucionalidad.</w:t>
      </w:r>
    </w:p>
    <w:p w:rsidR="005F6CE3" w:rsidRPr="005F6CE3" w:rsidRDefault="005F6CE3" w:rsidP="005F6CE3">
      <w:pPr>
        <w:spacing w:before="100" w:beforeAutospacing="1" w:after="100" w:afterAutospacing="1" w:line="240" w:lineRule="auto"/>
        <w:rPr>
          <w:rFonts w:ascii="Times New Roman" w:eastAsia="Times New Roman" w:hAnsi="Times New Roman" w:cs="Times New Roman"/>
          <w:sz w:val="24"/>
          <w:szCs w:val="24"/>
          <w:lang w:eastAsia="es-AR"/>
        </w:rPr>
      </w:pPr>
      <w:r w:rsidRPr="005F6CE3">
        <w:rPr>
          <w:rFonts w:ascii="Times New Roman" w:eastAsia="Times New Roman" w:hAnsi="Times New Roman" w:cs="Times New Roman"/>
          <w:sz w:val="24"/>
          <w:szCs w:val="24"/>
          <w:lang w:eastAsia="es-AR"/>
        </w:rPr>
        <w:t xml:space="preserve">En resumidas cuentas, la norma discriminaría al hombre al excluirlo del llamamiento sucesorio al que, en iguales circunstancias es concedido a la mujer; pero también la discriminaría a la mujer al mantenerla en el histórico y superado rol de parte débil de la relación matrimonial, insertada en un superado modelo proteccionista varonil (ver </w:t>
      </w:r>
      <w:proofErr w:type="spellStart"/>
      <w:r w:rsidRPr="005F6CE3">
        <w:rPr>
          <w:rFonts w:ascii="Times New Roman" w:eastAsia="Times New Roman" w:hAnsi="Times New Roman" w:cs="Times New Roman"/>
          <w:sz w:val="24"/>
          <w:szCs w:val="24"/>
          <w:lang w:eastAsia="es-AR"/>
        </w:rPr>
        <w:t>Famá</w:t>
      </w:r>
      <w:proofErr w:type="spellEnd"/>
      <w:r w:rsidRPr="005F6CE3">
        <w:rPr>
          <w:rFonts w:ascii="Times New Roman" w:eastAsia="Times New Roman" w:hAnsi="Times New Roman" w:cs="Times New Roman"/>
          <w:sz w:val="24"/>
          <w:szCs w:val="24"/>
          <w:lang w:eastAsia="es-AR"/>
        </w:rPr>
        <w:t xml:space="preserve">, M. Victoria, Inconstitucionalidad de la figura de la "nuera viuda sin hijos" a la luz del principio de la no discriminación: necesaria mirada desde la perspectiva del género, RDF, 2010-I, p. 164). </w:t>
      </w:r>
    </w:p>
    <w:p w:rsidR="005F6CE3" w:rsidRPr="005F6CE3" w:rsidRDefault="005F6CE3" w:rsidP="005F6CE3">
      <w:pPr>
        <w:spacing w:before="100" w:beforeAutospacing="1" w:after="100" w:afterAutospacing="1" w:line="240" w:lineRule="auto"/>
        <w:rPr>
          <w:rFonts w:ascii="Times New Roman" w:eastAsia="Times New Roman" w:hAnsi="Times New Roman" w:cs="Times New Roman"/>
          <w:sz w:val="24"/>
          <w:szCs w:val="24"/>
          <w:lang w:eastAsia="es-AR"/>
        </w:rPr>
      </w:pPr>
      <w:r w:rsidRPr="005F6CE3">
        <w:rPr>
          <w:rFonts w:ascii="Times New Roman" w:eastAsia="Times New Roman" w:hAnsi="Times New Roman" w:cs="Times New Roman"/>
          <w:sz w:val="24"/>
          <w:szCs w:val="24"/>
          <w:lang w:eastAsia="es-AR"/>
        </w:rPr>
        <w:lastRenderedPageBreak/>
        <w:t>El principio de igualdad y no discriminación arroja como resultado de este ejercicio ponderativo que la norma en estudio, art. 3576 bis del Código Civil, en tanto excluye al yerno viudo sin hijos del mismo derecho al que accedería una mujer en similar situación, devendría contrario al ordenamiento constitucional y así debe ser declarado por este tribunal.</w:t>
      </w:r>
    </w:p>
    <w:p w:rsidR="005F6CE3" w:rsidRPr="005F6CE3" w:rsidRDefault="005F6CE3" w:rsidP="005F6CE3">
      <w:pPr>
        <w:spacing w:before="100" w:beforeAutospacing="1" w:after="100" w:afterAutospacing="1" w:line="240" w:lineRule="auto"/>
        <w:rPr>
          <w:rFonts w:ascii="Times New Roman" w:eastAsia="Times New Roman" w:hAnsi="Times New Roman" w:cs="Times New Roman"/>
          <w:sz w:val="24"/>
          <w:szCs w:val="24"/>
          <w:lang w:eastAsia="es-AR"/>
        </w:rPr>
      </w:pPr>
      <w:r w:rsidRPr="005F6CE3">
        <w:rPr>
          <w:rFonts w:ascii="Times New Roman" w:eastAsia="Times New Roman" w:hAnsi="Times New Roman" w:cs="Times New Roman"/>
          <w:sz w:val="24"/>
          <w:szCs w:val="24"/>
          <w:lang w:eastAsia="es-AR"/>
        </w:rPr>
        <w:t xml:space="preserve">A esa misma conclusión han arribado otros precedentes jurisprudenciales (Juzgado de 1ª Instancia en lo Civil y Comercial de 27ª Nominación de Córdoba, 30104/2009, "M. o M., A.", LLC, 2009-549; Juzgado Civil y Comercial de la Nominación San José de </w:t>
      </w:r>
      <w:proofErr w:type="spellStart"/>
      <w:r w:rsidRPr="005F6CE3">
        <w:rPr>
          <w:rFonts w:ascii="Times New Roman" w:eastAsia="Times New Roman" w:hAnsi="Times New Roman" w:cs="Times New Roman"/>
          <w:sz w:val="24"/>
          <w:szCs w:val="24"/>
          <w:lang w:eastAsia="es-AR"/>
        </w:rPr>
        <w:t>Metán</w:t>
      </w:r>
      <w:proofErr w:type="spellEnd"/>
      <w:r w:rsidRPr="005F6CE3">
        <w:rPr>
          <w:rFonts w:ascii="Times New Roman" w:eastAsia="Times New Roman" w:hAnsi="Times New Roman" w:cs="Times New Roman"/>
          <w:sz w:val="24"/>
          <w:szCs w:val="24"/>
          <w:lang w:eastAsia="es-AR"/>
        </w:rPr>
        <w:t>, 08/04/2010, "G., A.", LLNOA, 2010-597).</w:t>
      </w:r>
    </w:p>
    <w:p w:rsidR="005F6CE3" w:rsidRPr="005F6CE3" w:rsidRDefault="005F6CE3" w:rsidP="005F6CE3">
      <w:pPr>
        <w:spacing w:before="100" w:beforeAutospacing="1" w:after="100" w:afterAutospacing="1" w:line="240" w:lineRule="auto"/>
        <w:rPr>
          <w:rFonts w:ascii="Times New Roman" w:eastAsia="Times New Roman" w:hAnsi="Times New Roman" w:cs="Times New Roman"/>
          <w:sz w:val="24"/>
          <w:szCs w:val="24"/>
          <w:lang w:eastAsia="es-AR"/>
        </w:rPr>
      </w:pPr>
      <w:r w:rsidRPr="005F6CE3">
        <w:rPr>
          <w:rFonts w:ascii="Times New Roman" w:eastAsia="Times New Roman" w:hAnsi="Times New Roman" w:cs="Times New Roman"/>
          <w:sz w:val="24"/>
          <w:szCs w:val="24"/>
          <w:lang w:eastAsia="es-AR"/>
        </w:rPr>
        <w:t xml:space="preserve">En concreto, el art. 3576 bis del Código Civil hoy no es susceptible de postular su validez a la luz de los principios superiores de nuestro ordenamiento jurídico. Ello no debe llamar la atención, pues con acierto se ha sostenido que la regla normativa no se sustrae a la "usura del tiempo". Es que una ley no puede conservar indefinidamente el sentido y el alcance que tuvo cuando fue dictada; "hay que introducirla en el movimiento de la historia" para que se halle en sintonía con "las nuevas necesidades y problemas jurídicos suscitados por las transformaciones de los tiempos" (Ver De Lorenzo, Miguel Federico, Abuso de Derecho y Pretérito Indefinido, LA LEY, 2009-C, 1339 y los prestigiosos autores allí citados). </w:t>
      </w:r>
    </w:p>
    <w:p w:rsidR="005F6CE3" w:rsidRPr="005F6CE3" w:rsidRDefault="005F6CE3" w:rsidP="005F6CE3">
      <w:pPr>
        <w:spacing w:before="100" w:beforeAutospacing="1" w:after="100" w:afterAutospacing="1" w:line="240" w:lineRule="auto"/>
        <w:rPr>
          <w:rFonts w:ascii="Times New Roman" w:eastAsia="Times New Roman" w:hAnsi="Times New Roman" w:cs="Times New Roman"/>
          <w:sz w:val="24"/>
          <w:szCs w:val="24"/>
          <w:lang w:eastAsia="es-AR"/>
        </w:rPr>
      </w:pPr>
      <w:r w:rsidRPr="005F6CE3">
        <w:rPr>
          <w:rFonts w:ascii="Times New Roman" w:eastAsia="Times New Roman" w:hAnsi="Times New Roman" w:cs="Times New Roman"/>
          <w:sz w:val="24"/>
          <w:szCs w:val="24"/>
          <w:lang w:eastAsia="es-AR"/>
        </w:rPr>
        <w:t>No obstante, a los fines de brindar una respuesta idónea a la pretensión del apelante —el reconocimiento de su calidad de heredero— se impone que la jurisdicción no se limite a la invalidación del precepto analizado, cual si fuera un legislador negativo ya que ello sólo aportaría silencio a la cuestión y el conflicto no sería resuelto. Téngase presente al respecto que se trata de un llamamiento sucesorio que, aún con las deficiencias y singularidades señaladas, ha sido mantenido hasta la actualidad por el legislador.</w:t>
      </w:r>
    </w:p>
    <w:p w:rsidR="005F6CE3" w:rsidRPr="005F6CE3" w:rsidRDefault="005F6CE3" w:rsidP="005F6CE3">
      <w:pPr>
        <w:spacing w:before="100" w:beforeAutospacing="1" w:after="100" w:afterAutospacing="1" w:line="240" w:lineRule="auto"/>
        <w:rPr>
          <w:rFonts w:ascii="Times New Roman" w:eastAsia="Times New Roman" w:hAnsi="Times New Roman" w:cs="Times New Roman"/>
          <w:sz w:val="24"/>
          <w:szCs w:val="24"/>
          <w:lang w:eastAsia="es-AR"/>
        </w:rPr>
      </w:pPr>
      <w:r w:rsidRPr="005F6CE3">
        <w:rPr>
          <w:rFonts w:ascii="Times New Roman" w:eastAsia="Times New Roman" w:hAnsi="Times New Roman" w:cs="Times New Roman"/>
          <w:sz w:val="24"/>
          <w:szCs w:val="24"/>
          <w:lang w:eastAsia="es-AR"/>
        </w:rPr>
        <w:t>De tal suerte, la declaración de inconstitucionalidad debe trascender la función meramente negativa anotada y proveer una nueva norma al caso concreto que rija la relación jurídica de las partes y que satisfaga los parámetros constitucionales. Esto es, una declaración de inconstitucionalidad agregativa que incorpore al yerno viudo y sin hijos como sujeto beneficiado en los derechos otorgados en el art. 3576 bis del Código Civil.</w:t>
      </w:r>
    </w:p>
    <w:p w:rsidR="005F6CE3" w:rsidRPr="005F6CE3" w:rsidRDefault="005F6CE3" w:rsidP="005F6CE3">
      <w:pPr>
        <w:spacing w:before="100" w:beforeAutospacing="1" w:after="100" w:afterAutospacing="1" w:line="240" w:lineRule="auto"/>
        <w:rPr>
          <w:rFonts w:ascii="Times New Roman" w:eastAsia="Times New Roman" w:hAnsi="Times New Roman" w:cs="Times New Roman"/>
          <w:sz w:val="24"/>
          <w:szCs w:val="24"/>
          <w:lang w:eastAsia="es-AR"/>
        </w:rPr>
      </w:pPr>
      <w:r w:rsidRPr="005F6CE3">
        <w:rPr>
          <w:rFonts w:ascii="Times New Roman" w:eastAsia="Times New Roman" w:hAnsi="Times New Roman" w:cs="Times New Roman"/>
          <w:sz w:val="24"/>
          <w:szCs w:val="24"/>
          <w:lang w:eastAsia="es-AR"/>
        </w:rPr>
        <w:t>VIII.- Adviértase que la circunstancia que en autos no se haya verificado un requerimiento expreso para declarar la inconstitucionalidad de marras, no ha de impedir el pronunciamiento del Tribunal.</w:t>
      </w:r>
    </w:p>
    <w:p w:rsidR="005F6CE3" w:rsidRPr="005F6CE3" w:rsidRDefault="005F6CE3" w:rsidP="005F6CE3">
      <w:pPr>
        <w:spacing w:before="100" w:beforeAutospacing="1" w:after="100" w:afterAutospacing="1" w:line="240" w:lineRule="auto"/>
        <w:rPr>
          <w:rFonts w:ascii="Times New Roman" w:eastAsia="Times New Roman" w:hAnsi="Times New Roman" w:cs="Times New Roman"/>
          <w:sz w:val="24"/>
          <w:szCs w:val="24"/>
          <w:lang w:eastAsia="es-AR"/>
        </w:rPr>
      </w:pPr>
      <w:r w:rsidRPr="005F6CE3">
        <w:rPr>
          <w:rFonts w:ascii="Times New Roman" w:eastAsia="Times New Roman" w:hAnsi="Times New Roman" w:cs="Times New Roman"/>
          <w:sz w:val="24"/>
          <w:szCs w:val="24"/>
          <w:lang w:eastAsia="es-AR"/>
        </w:rPr>
        <w:t xml:space="preserve">En efecto, sobre el punto se deberá reparar que el judicial </w:t>
      </w:r>
      <w:proofErr w:type="spellStart"/>
      <w:r w:rsidRPr="005F6CE3">
        <w:rPr>
          <w:rFonts w:ascii="Times New Roman" w:eastAsia="Times New Roman" w:hAnsi="Times New Roman" w:cs="Times New Roman"/>
          <w:sz w:val="24"/>
          <w:szCs w:val="24"/>
          <w:lang w:eastAsia="es-AR"/>
        </w:rPr>
        <w:t>review</w:t>
      </w:r>
      <w:proofErr w:type="spellEnd"/>
      <w:r w:rsidRPr="005F6CE3">
        <w:rPr>
          <w:rFonts w:ascii="Times New Roman" w:eastAsia="Times New Roman" w:hAnsi="Times New Roman" w:cs="Times New Roman"/>
          <w:sz w:val="24"/>
          <w:szCs w:val="24"/>
          <w:lang w:eastAsia="es-AR"/>
        </w:rPr>
        <w:t xml:space="preserve"> of </w:t>
      </w:r>
      <w:proofErr w:type="spellStart"/>
      <w:r w:rsidRPr="005F6CE3">
        <w:rPr>
          <w:rFonts w:ascii="Times New Roman" w:eastAsia="Times New Roman" w:hAnsi="Times New Roman" w:cs="Times New Roman"/>
          <w:sz w:val="24"/>
          <w:szCs w:val="24"/>
          <w:lang w:eastAsia="es-AR"/>
        </w:rPr>
        <w:t>law</w:t>
      </w:r>
      <w:proofErr w:type="spellEnd"/>
      <w:r w:rsidRPr="005F6CE3">
        <w:rPr>
          <w:rFonts w:ascii="Times New Roman" w:eastAsia="Times New Roman" w:hAnsi="Times New Roman" w:cs="Times New Roman"/>
          <w:sz w:val="24"/>
          <w:szCs w:val="24"/>
          <w:lang w:eastAsia="es-AR"/>
        </w:rPr>
        <w:t xml:space="preserve"> norteamericano —control judicial de constitucionalidad— es el iniciador de una nueva y espléndida época en materia de control de la legitimidad de las leyes. Ello desde que la Constitución norteamericana (1787) abrió la era del constitucionalismo y de la supremacía de una carta de derechos rígida que no puede ser modificada o derogada mediante leyes ordinarias, sino que necesitan un procedimiento especial para lograrlo (</w:t>
      </w:r>
      <w:proofErr w:type="spellStart"/>
      <w:r w:rsidRPr="005F6CE3">
        <w:rPr>
          <w:rFonts w:ascii="Times New Roman" w:eastAsia="Times New Roman" w:hAnsi="Times New Roman" w:cs="Times New Roman"/>
          <w:sz w:val="24"/>
          <w:szCs w:val="24"/>
          <w:lang w:eastAsia="es-AR"/>
        </w:rPr>
        <w:t>Cappelletti</w:t>
      </w:r>
      <w:proofErr w:type="spellEnd"/>
      <w:r w:rsidRPr="005F6CE3">
        <w:rPr>
          <w:rFonts w:ascii="Times New Roman" w:eastAsia="Times New Roman" w:hAnsi="Times New Roman" w:cs="Times New Roman"/>
          <w:sz w:val="24"/>
          <w:szCs w:val="24"/>
          <w:lang w:eastAsia="es-AR"/>
        </w:rPr>
        <w:t xml:space="preserve">, Mauro, </w:t>
      </w:r>
      <w:proofErr w:type="spellStart"/>
      <w:r w:rsidRPr="005F6CE3">
        <w:rPr>
          <w:rFonts w:ascii="Times New Roman" w:eastAsia="Times New Roman" w:hAnsi="Times New Roman" w:cs="Times New Roman"/>
          <w:sz w:val="24"/>
          <w:szCs w:val="24"/>
          <w:lang w:eastAsia="es-AR"/>
        </w:rPr>
        <w:t>Il</w:t>
      </w:r>
      <w:proofErr w:type="spellEnd"/>
      <w:r w:rsidRPr="005F6CE3">
        <w:rPr>
          <w:rFonts w:ascii="Times New Roman" w:eastAsia="Times New Roman" w:hAnsi="Times New Roman" w:cs="Times New Roman"/>
          <w:sz w:val="24"/>
          <w:szCs w:val="24"/>
          <w:lang w:eastAsia="es-AR"/>
        </w:rPr>
        <w:t xml:space="preserve"> </w:t>
      </w:r>
      <w:proofErr w:type="spellStart"/>
      <w:r w:rsidRPr="005F6CE3">
        <w:rPr>
          <w:rFonts w:ascii="Times New Roman" w:eastAsia="Times New Roman" w:hAnsi="Times New Roman" w:cs="Times New Roman"/>
          <w:sz w:val="24"/>
          <w:szCs w:val="24"/>
          <w:lang w:eastAsia="es-AR"/>
        </w:rPr>
        <w:t>controllo</w:t>
      </w:r>
      <w:proofErr w:type="spellEnd"/>
      <w:r w:rsidRPr="005F6CE3">
        <w:rPr>
          <w:rFonts w:ascii="Times New Roman" w:eastAsia="Times New Roman" w:hAnsi="Times New Roman" w:cs="Times New Roman"/>
          <w:sz w:val="24"/>
          <w:szCs w:val="24"/>
          <w:lang w:eastAsia="es-AR"/>
        </w:rPr>
        <w:t xml:space="preserve"> </w:t>
      </w:r>
      <w:proofErr w:type="spellStart"/>
      <w:r w:rsidRPr="005F6CE3">
        <w:rPr>
          <w:rFonts w:ascii="Times New Roman" w:eastAsia="Times New Roman" w:hAnsi="Times New Roman" w:cs="Times New Roman"/>
          <w:sz w:val="24"/>
          <w:szCs w:val="24"/>
          <w:lang w:eastAsia="es-AR"/>
        </w:rPr>
        <w:t>giudiziario</w:t>
      </w:r>
      <w:proofErr w:type="spellEnd"/>
      <w:r w:rsidRPr="005F6CE3">
        <w:rPr>
          <w:rFonts w:ascii="Times New Roman" w:eastAsia="Times New Roman" w:hAnsi="Times New Roman" w:cs="Times New Roman"/>
          <w:sz w:val="24"/>
          <w:szCs w:val="24"/>
          <w:lang w:eastAsia="es-AR"/>
        </w:rPr>
        <w:t xml:space="preserve"> di </w:t>
      </w:r>
      <w:proofErr w:type="spellStart"/>
      <w:r w:rsidRPr="005F6CE3">
        <w:rPr>
          <w:rFonts w:ascii="Times New Roman" w:eastAsia="Times New Roman" w:hAnsi="Times New Roman" w:cs="Times New Roman"/>
          <w:sz w:val="24"/>
          <w:szCs w:val="24"/>
          <w:lang w:eastAsia="es-AR"/>
        </w:rPr>
        <w:t>constitucionalità</w:t>
      </w:r>
      <w:proofErr w:type="spellEnd"/>
      <w:r w:rsidRPr="005F6CE3">
        <w:rPr>
          <w:rFonts w:ascii="Times New Roman" w:eastAsia="Times New Roman" w:hAnsi="Times New Roman" w:cs="Times New Roman"/>
          <w:sz w:val="24"/>
          <w:szCs w:val="24"/>
          <w:lang w:eastAsia="es-AR"/>
        </w:rPr>
        <w:t xml:space="preserve"> </w:t>
      </w:r>
      <w:proofErr w:type="spellStart"/>
      <w:r w:rsidRPr="005F6CE3">
        <w:rPr>
          <w:rFonts w:ascii="Times New Roman" w:eastAsia="Times New Roman" w:hAnsi="Times New Roman" w:cs="Times New Roman"/>
          <w:sz w:val="24"/>
          <w:szCs w:val="24"/>
          <w:lang w:eastAsia="es-AR"/>
        </w:rPr>
        <w:t>delle</w:t>
      </w:r>
      <w:proofErr w:type="spellEnd"/>
      <w:r w:rsidRPr="005F6CE3">
        <w:rPr>
          <w:rFonts w:ascii="Times New Roman" w:eastAsia="Times New Roman" w:hAnsi="Times New Roman" w:cs="Times New Roman"/>
          <w:sz w:val="24"/>
          <w:szCs w:val="24"/>
          <w:lang w:eastAsia="es-AR"/>
        </w:rPr>
        <w:t xml:space="preserve"> </w:t>
      </w:r>
      <w:proofErr w:type="spellStart"/>
      <w:r w:rsidRPr="005F6CE3">
        <w:rPr>
          <w:rFonts w:ascii="Times New Roman" w:eastAsia="Times New Roman" w:hAnsi="Times New Roman" w:cs="Times New Roman"/>
          <w:sz w:val="24"/>
          <w:szCs w:val="24"/>
          <w:lang w:eastAsia="es-AR"/>
        </w:rPr>
        <w:t>leggi</w:t>
      </w:r>
      <w:proofErr w:type="spellEnd"/>
      <w:r w:rsidRPr="005F6CE3">
        <w:rPr>
          <w:rFonts w:ascii="Times New Roman" w:eastAsia="Times New Roman" w:hAnsi="Times New Roman" w:cs="Times New Roman"/>
          <w:sz w:val="24"/>
          <w:szCs w:val="24"/>
          <w:lang w:eastAsia="es-AR"/>
        </w:rPr>
        <w:t xml:space="preserve"> </w:t>
      </w:r>
      <w:proofErr w:type="spellStart"/>
      <w:r w:rsidRPr="005F6CE3">
        <w:rPr>
          <w:rFonts w:ascii="Times New Roman" w:eastAsia="Times New Roman" w:hAnsi="Times New Roman" w:cs="Times New Roman"/>
          <w:sz w:val="24"/>
          <w:szCs w:val="24"/>
          <w:lang w:eastAsia="es-AR"/>
        </w:rPr>
        <w:t>nel</w:t>
      </w:r>
      <w:proofErr w:type="spellEnd"/>
      <w:r w:rsidRPr="005F6CE3">
        <w:rPr>
          <w:rFonts w:ascii="Times New Roman" w:eastAsia="Times New Roman" w:hAnsi="Times New Roman" w:cs="Times New Roman"/>
          <w:sz w:val="24"/>
          <w:szCs w:val="24"/>
          <w:lang w:eastAsia="es-AR"/>
        </w:rPr>
        <w:t xml:space="preserve"> </w:t>
      </w:r>
      <w:proofErr w:type="spellStart"/>
      <w:r w:rsidRPr="005F6CE3">
        <w:rPr>
          <w:rFonts w:ascii="Times New Roman" w:eastAsia="Times New Roman" w:hAnsi="Times New Roman" w:cs="Times New Roman"/>
          <w:sz w:val="24"/>
          <w:szCs w:val="24"/>
          <w:lang w:eastAsia="es-AR"/>
        </w:rPr>
        <w:t>diritto</w:t>
      </w:r>
      <w:proofErr w:type="spellEnd"/>
      <w:r w:rsidRPr="005F6CE3">
        <w:rPr>
          <w:rFonts w:ascii="Times New Roman" w:eastAsia="Times New Roman" w:hAnsi="Times New Roman" w:cs="Times New Roman"/>
          <w:sz w:val="24"/>
          <w:szCs w:val="24"/>
          <w:lang w:eastAsia="es-AR"/>
        </w:rPr>
        <w:t xml:space="preserve"> </w:t>
      </w:r>
      <w:proofErr w:type="spellStart"/>
      <w:r w:rsidRPr="005F6CE3">
        <w:rPr>
          <w:rFonts w:ascii="Times New Roman" w:eastAsia="Times New Roman" w:hAnsi="Times New Roman" w:cs="Times New Roman"/>
          <w:sz w:val="24"/>
          <w:szCs w:val="24"/>
          <w:lang w:eastAsia="es-AR"/>
        </w:rPr>
        <w:t>comparato</w:t>
      </w:r>
      <w:proofErr w:type="spellEnd"/>
      <w:r w:rsidRPr="005F6CE3">
        <w:rPr>
          <w:rFonts w:ascii="Times New Roman" w:eastAsia="Times New Roman" w:hAnsi="Times New Roman" w:cs="Times New Roman"/>
          <w:sz w:val="24"/>
          <w:szCs w:val="24"/>
          <w:lang w:eastAsia="es-AR"/>
        </w:rPr>
        <w:t xml:space="preserve">, Milano, </w:t>
      </w:r>
      <w:proofErr w:type="spellStart"/>
      <w:r w:rsidRPr="005F6CE3">
        <w:rPr>
          <w:rFonts w:ascii="Times New Roman" w:eastAsia="Times New Roman" w:hAnsi="Times New Roman" w:cs="Times New Roman"/>
          <w:sz w:val="24"/>
          <w:szCs w:val="24"/>
          <w:lang w:eastAsia="es-AR"/>
        </w:rPr>
        <w:t>Dott</w:t>
      </w:r>
      <w:proofErr w:type="spellEnd"/>
      <w:r w:rsidRPr="005F6CE3">
        <w:rPr>
          <w:rFonts w:ascii="Times New Roman" w:eastAsia="Times New Roman" w:hAnsi="Times New Roman" w:cs="Times New Roman"/>
          <w:sz w:val="24"/>
          <w:szCs w:val="24"/>
          <w:lang w:eastAsia="es-AR"/>
        </w:rPr>
        <w:t xml:space="preserve">. A. </w:t>
      </w:r>
      <w:proofErr w:type="spellStart"/>
      <w:r w:rsidRPr="005F6CE3">
        <w:rPr>
          <w:rFonts w:ascii="Times New Roman" w:eastAsia="Times New Roman" w:hAnsi="Times New Roman" w:cs="Times New Roman"/>
          <w:sz w:val="24"/>
          <w:szCs w:val="24"/>
          <w:lang w:eastAsia="es-AR"/>
        </w:rPr>
        <w:t>Giuffré</w:t>
      </w:r>
      <w:proofErr w:type="spellEnd"/>
      <w:r w:rsidRPr="005F6CE3">
        <w:rPr>
          <w:rFonts w:ascii="Times New Roman" w:eastAsia="Times New Roman" w:hAnsi="Times New Roman" w:cs="Times New Roman"/>
          <w:sz w:val="24"/>
          <w:szCs w:val="24"/>
          <w:lang w:eastAsia="es-AR"/>
        </w:rPr>
        <w:t xml:space="preserve"> </w:t>
      </w:r>
      <w:proofErr w:type="spellStart"/>
      <w:r w:rsidRPr="005F6CE3">
        <w:rPr>
          <w:rFonts w:ascii="Times New Roman" w:eastAsia="Times New Roman" w:hAnsi="Times New Roman" w:cs="Times New Roman"/>
          <w:sz w:val="24"/>
          <w:szCs w:val="24"/>
          <w:lang w:eastAsia="es-AR"/>
        </w:rPr>
        <w:t>Editore</w:t>
      </w:r>
      <w:proofErr w:type="spellEnd"/>
      <w:r w:rsidRPr="005F6CE3">
        <w:rPr>
          <w:rFonts w:ascii="Times New Roman" w:eastAsia="Times New Roman" w:hAnsi="Times New Roman" w:cs="Times New Roman"/>
          <w:sz w:val="24"/>
          <w:szCs w:val="24"/>
          <w:lang w:eastAsia="es-AR"/>
        </w:rPr>
        <w:t>, 1973, p. 41 —El control judicial de constitucionalidad de las leyes en el derecho comparado—).</w:t>
      </w:r>
    </w:p>
    <w:p w:rsidR="005F6CE3" w:rsidRPr="005F6CE3" w:rsidRDefault="005F6CE3" w:rsidP="005F6CE3">
      <w:pPr>
        <w:spacing w:before="100" w:beforeAutospacing="1" w:after="100" w:afterAutospacing="1" w:line="240" w:lineRule="auto"/>
        <w:rPr>
          <w:rFonts w:ascii="Times New Roman" w:eastAsia="Times New Roman" w:hAnsi="Times New Roman" w:cs="Times New Roman"/>
          <w:sz w:val="24"/>
          <w:szCs w:val="24"/>
          <w:lang w:eastAsia="es-AR"/>
        </w:rPr>
      </w:pPr>
      <w:r w:rsidRPr="005F6CE3">
        <w:rPr>
          <w:rFonts w:ascii="Times New Roman" w:eastAsia="Times New Roman" w:hAnsi="Times New Roman" w:cs="Times New Roman"/>
          <w:sz w:val="24"/>
          <w:szCs w:val="24"/>
          <w:lang w:eastAsia="es-AR"/>
        </w:rPr>
        <w:lastRenderedPageBreak/>
        <w:t xml:space="preserve">El sustento teórico sobre el que se asienta el control de constitucionalidad difuso no abreva de mayores complicaciones, por lo menos no diversas a aquellas que usualmente se utilizan para la aplicación de normas jurídicas. Así fue razonado por Hamilton en El Federalista (Hamilton, </w:t>
      </w:r>
      <w:proofErr w:type="spellStart"/>
      <w:r w:rsidRPr="005F6CE3">
        <w:rPr>
          <w:rFonts w:ascii="Times New Roman" w:eastAsia="Times New Roman" w:hAnsi="Times New Roman" w:cs="Times New Roman"/>
          <w:sz w:val="24"/>
          <w:szCs w:val="24"/>
          <w:lang w:eastAsia="es-AR"/>
        </w:rPr>
        <w:t>Jay</w:t>
      </w:r>
      <w:proofErr w:type="spellEnd"/>
      <w:r w:rsidRPr="005F6CE3">
        <w:rPr>
          <w:rFonts w:ascii="Times New Roman" w:eastAsia="Times New Roman" w:hAnsi="Times New Roman" w:cs="Times New Roman"/>
          <w:sz w:val="24"/>
          <w:szCs w:val="24"/>
          <w:lang w:eastAsia="es-AR"/>
        </w:rPr>
        <w:t xml:space="preserve"> and Madison, </w:t>
      </w:r>
      <w:proofErr w:type="spellStart"/>
      <w:r w:rsidRPr="005F6CE3">
        <w:rPr>
          <w:rFonts w:ascii="Times New Roman" w:eastAsia="Times New Roman" w:hAnsi="Times New Roman" w:cs="Times New Roman"/>
          <w:sz w:val="24"/>
          <w:szCs w:val="24"/>
          <w:lang w:eastAsia="es-AR"/>
        </w:rPr>
        <w:t>The</w:t>
      </w:r>
      <w:proofErr w:type="spellEnd"/>
      <w:r w:rsidRPr="005F6CE3">
        <w:rPr>
          <w:rFonts w:ascii="Times New Roman" w:eastAsia="Times New Roman" w:hAnsi="Times New Roman" w:cs="Times New Roman"/>
          <w:sz w:val="24"/>
          <w:szCs w:val="24"/>
          <w:lang w:eastAsia="es-AR"/>
        </w:rPr>
        <w:t xml:space="preserve"> </w:t>
      </w:r>
      <w:proofErr w:type="spellStart"/>
      <w:r w:rsidRPr="005F6CE3">
        <w:rPr>
          <w:rFonts w:ascii="Times New Roman" w:eastAsia="Times New Roman" w:hAnsi="Times New Roman" w:cs="Times New Roman"/>
          <w:sz w:val="24"/>
          <w:szCs w:val="24"/>
          <w:lang w:eastAsia="es-AR"/>
        </w:rPr>
        <w:t>Federalist</w:t>
      </w:r>
      <w:proofErr w:type="spellEnd"/>
      <w:r w:rsidRPr="005F6CE3">
        <w:rPr>
          <w:rFonts w:ascii="Times New Roman" w:eastAsia="Times New Roman" w:hAnsi="Times New Roman" w:cs="Times New Roman"/>
          <w:sz w:val="24"/>
          <w:szCs w:val="24"/>
          <w:lang w:eastAsia="es-AR"/>
        </w:rPr>
        <w:t xml:space="preserve">, </w:t>
      </w:r>
      <w:proofErr w:type="spellStart"/>
      <w:r w:rsidRPr="005F6CE3">
        <w:rPr>
          <w:rFonts w:ascii="Times New Roman" w:eastAsia="Times New Roman" w:hAnsi="Times New Roman" w:cs="Times New Roman"/>
          <w:sz w:val="24"/>
          <w:szCs w:val="24"/>
          <w:lang w:eastAsia="es-AR"/>
        </w:rPr>
        <w:t>on</w:t>
      </w:r>
      <w:proofErr w:type="spellEnd"/>
      <w:r w:rsidRPr="005F6CE3">
        <w:rPr>
          <w:rFonts w:ascii="Times New Roman" w:eastAsia="Times New Roman" w:hAnsi="Times New Roman" w:cs="Times New Roman"/>
          <w:sz w:val="24"/>
          <w:szCs w:val="24"/>
          <w:lang w:eastAsia="es-AR"/>
        </w:rPr>
        <w:t xml:space="preserve"> </w:t>
      </w:r>
      <w:proofErr w:type="spellStart"/>
      <w:r w:rsidRPr="005F6CE3">
        <w:rPr>
          <w:rFonts w:ascii="Times New Roman" w:eastAsia="Times New Roman" w:hAnsi="Times New Roman" w:cs="Times New Roman"/>
          <w:sz w:val="24"/>
          <w:szCs w:val="24"/>
          <w:lang w:eastAsia="es-AR"/>
        </w:rPr>
        <w:t>the</w:t>
      </w:r>
      <w:proofErr w:type="spellEnd"/>
      <w:r w:rsidRPr="005F6CE3">
        <w:rPr>
          <w:rFonts w:ascii="Times New Roman" w:eastAsia="Times New Roman" w:hAnsi="Times New Roman" w:cs="Times New Roman"/>
          <w:sz w:val="24"/>
          <w:szCs w:val="24"/>
          <w:lang w:eastAsia="es-AR"/>
        </w:rPr>
        <w:t xml:space="preserve"> new </w:t>
      </w:r>
      <w:proofErr w:type="spellStart"/>
      <w:r w:rsidRPr="005F6CE3">
        <w:rPr>
          <w:rFonts w:ascii="Times New Roman" w:eastAsia="Times New Roman" w:hAnsi="Times New Roman" w:cs="Times New Roman"/>
          <w:sz w:val="24"/>
          <w:szCs w:val="24"/>
          <w:lang w:eastAsia="es-AR"/>
        </w:rPr>
        <w:t>constitution</w:t>
      </w:r>
      <w:proofErr w:type="spellEnd"/>
      <w:r w:rsidRPr="005F6CE3">
        <w:rPr>
          <w:rFonts w:ascii="Times New Roman" w:eastAsia="Times New Roman" w:hAnsi="Times New Roman" w:cs="Times New Roman"/>
          <w:sz w:val="24"/>
          <w:szCs w:val="24"/>
          <w:lang w:eastAsia="es-AR"/>
        </w:rPr>
        <w:t xml:space="preserve">, Vol. II, N° LXXVIII, titulado: A </w:t>
      </w:r>
      <w:proofErr w:type="spellStart"/>
      <w:r w:rsidRPr="005F6CE3">
        <w:rPr>
          <w:rFonts w:ascii="Times New Roman" w:eastAsia="Times New Roman" w:hAnsi="Times New Roman" w:cs="Times New Roman"/>
          <w:sz w:val="24"/>
          <w:szCs w:val="24"/>
          <w:lang w:eastAsia="es-AR"/>
        </w:rPr>
        <w:t>view</w:t>
      </w:r>
      <w:proofErr w:type="spellEnd"/>
      <w:r w:rsidRPr="005F6CE3">
        <w:rPr>
          <w:rFonts w:ascii="Times New Roman" w:eastAsia="Times New Roman" w:hAnsi="Times New Roman" w:cs="Times New Roman"/>
          <w:sz w:val="24"/>
          <w:szCs w:val="24"/>
          <w:lang w:eastAsia="es-AR"/>
        </w:rPr>
        <w:t xml:space="preserve"> of </w:t>
      </w:r>
      <w:proofErr w:type="spellStart"/>
      <w:r w:rsidRPr="005F6CE3">
        <w:rPr>
          <w:rFonts w:ascii="Times New Roman" w:eastAsia="Times New Roman" w:hAnsi="Times New Roman" w:cs="Times New Roman"/>
          <w:sz w:val="24"/>
          <w:szCs w:val="24"/>
          <w:lang w:eastAsia="es-AR"/>
        </w:rPr>
        <w:t>the</w:t>
      </w:r>
      <w:proofErr w:type="spellEnd"/>
      <w:r w:rsidRPr="005F6CE3">
        <w:rPr>
          <w:rFonts w:ascii="Times New Roman" w:eastAsia="Times New Roman" w:hAnsi="Times New Roman" w:cs="Times New Roman"/>
          <w:sz w:val="24"/>
          <w:szCs w:val="24"/>
          <w:lang w:eastAsia="es-AR"/>
        </w:rPr>
        <w:t xml:space="preserve"> </w:t>
      </w:r>
      <w:proofErr w:type="spellStart"/>
      <w:r w:rsidRPr="005F6CE3">
        <w:rPr>
          <w:rFonts w:ascii="Times New Roman" w:eastAsia="Times New Roman" w:hAnsi="Times New Roman" w:cs="Times New Roman"/>
          <w:sz w:val="24"/>
          <w:szCs w:val="24"/>
          <w:lang w:eastAsia="es-AR"/>
        </w:rPr>
        <w:t>constitution</w:t>
      </w:r>
      <w:proofErr w:type="spellEnd"/>
      <w:r w:rsidRPr="005F6CE3">
        <w:rPr>
          <w:rFonts w:ascii="Times New Roman" w:eastAsia="Times New Roman" w:hAnsi="Times New Roman" w:cs="Times New Roman"/>
          <w:sz w:val="24"/>
          <w:szCs w:val="24"/>
          <w:lang w:eastAsia="es-AR"/>
        </w:rPr>
        <w:t xml:space="preserve"> of </w:t>
      </w:r>
      <w:proofErr w:type="spellStart"/>
      <w:r w:rsidRPr="005F6CE3">
        <w:rPr>
          <w:rFonts w:ascii="Times New Roman" w:eastAsia="Times New Roman" w:hAnsi="Times New Roman" w:cs="Times New Roman"/>
          <w:sz w:val="24"/>
          <w:szCs w:val="24"/>
          <w:lang w:eastAsia="es-AR"/>
        </w:rPr>
        <w:t>the</w:t>
      </w:r>
      <w:proofErr w:type="spellEnd"/>
      <w:r w:rsidRPr="005F6CE3">
        <w:rPr>
          <w:rFonts w:ascii="Times New Roman" w:eastAsia="Times New Roman" w:hAnsi="Times New Roman" w:cs="Times New Roman"/>
          <w:sz w:val="24"/>
          <w:szCs w:val="24"/>
          <w:lang w:eastAsia="es-AR"/>
        </w:rPr>
        <w:t xml:space="preserve"> judicial </w:t>
      </w:r>
      <w:proofErr w:type="spellStart"/>
      <w:r w:rsidRPr="005F6CE3">
        <w:rPr>
          <w:rFonts w:ascii="Times New Roman" w:eastAsia="Times New Roman" w:hAnsi="Times New Roman" w:cs="Times New Roman"/>
          <w:sz w:val="24"/>
          <w:szCs w:val="24"/>
          <w:lang w:eastAsia="es-AR"/>
        </w:rPr>
        <w:t>departament</w:t>
      </w:r>
      <w:proofErr w:type="spellEnd"/>
      <w:r w:rsidRPr="005F6CE3">
        <w:rPr>
          <w:rFonts w:ascii="Times New Roman" w:eastAsia="Times New Roman" w:hAnsi="Times New Roman" w:cs="Times New Roman"/>
          <w:sz w:val="24"/>
          <w:szCs w:val="24"/>
          <w:lang w:eastAsia="es-AR"/>
        </w:rPr>
        <w:t xml:space="preserve">, in </w:t>
      </w:r>
      <w:proofErr w:type="spellStart"/>
      <w:r w:rsidRPr="005F6CE3">
        <w:rPr>
          <w:rFonts w:ascii="Times New Roman" w:eastAsia="Times New Roman" w:hAnsi="Times New Roman" w:cs="Times New Roman"/>
          <w:sz w:val="24"/>
          <w:szCs w:val="24"/>
          <w:lang w:eastAsia="es-AR"/>
        </w:rPr>
        <w:t>relation</w:t>
      </w:r>
      <w:proofErr w:type="spellEnd"/>
      <w:r w:rsidRPr="005F6CE3">
        <w:rPr>
          <w:rFonts w:ascii="Times New Roman" w:eastAsia="Times New Roman" w:hAnsi="Times New Roman" w:cs="Times New Roman"/>
          <w:sz w:val="24"/>
          <w:szCs w:val="24"/>
          <w:lang w:eastAsia="es-AR"/>
        </w:rPr>
        <w:t xml:space="preserve"> to </w:t>
      </w:r>
      <w:proofErr w:type="spellStart"/>
      <w:r w:rsidRPr="005F6CE3">
        <w:rPr>
          <w:rFonts w:ascii="Times New Roman" w:eastAsia="Times New Roman" w:hAnsi="Times New Roman" w:cs="Times New Roman"/>
          <w:sz w:val="24"/>
          <w:szCs w:val="24"/>
          <w:lang w:eastAsia="es-AR"/>
        </w:rPr>
        <w:t>the</w:t>
      </w:r>
      <w:proofErr w:type="spellEnd"/>
      <w:r w:rsidRPr="005F6CE3">
        <w:rPr>
          <w:rFonts w:ascii="Times New Roman" w:eastAsia="Times New Roman" w:hAnsi="Times New Roman" w:cs="Times New Roman"/>
          <w:sz w:val="24"/>
          <w:szCs w:val="24"/>
          <w:lang w:eastAsia="es-AR"/>
        </w:rPr>
        <w:t xml:space="preserve"> </w:t>
      </w:r>
      <w:proofErr w:type="spellStart"/>
      <w:r w:rsidRPr="005F6CE3">
        <w:rPr>
          <w:rFonts w:ascii="Times New Roman" w:eastAsia="Times New Roman" w:hAnsi="Times New Roman" w:cs="Times New Roman"/>
          <w:sz w:val="24"/>
          <w:szCs w:val="24"/>
          <w:lang w:eastAsia="es-AR"/>
        </w:rPr>
        <w:t>tenure</w:t>
      </w:r>
      <w:proofErr w:type="spellEnd"/>
      <w:r w:rsidRPr="005F6CE3">
        <w:rPr>
          <w:rFonts w:ascii="Times New Roman" w:eastAsia="Times New Roman" w:hAnsi="Times New Roman" w:cs="Times New Roman"/>
          <w:sz w:val="24"/>
          <w:szCs w:val="24"/>
          <w:lang w:eastAsia="es-AR"/>
        </w:rPr>
        <w:t xml:space="preserve"> of </w:t>
      </w:r>
      <w:proofErr w:type="spellStart"/>
      <w:r w:rsidRPr="005F6CE3">
        <w:rPr>
          <w:rFonts w:ascii="Times New Roman" w:eastAsia="Times New Roman" w:hAnsi="Times New Roman" w:cs="Times New Roman"/>
          <w:sz w:val="24"/>
          <w:szCs w:val="24"/>
          <w:lang w:eastAsia="es-AR"/>
        </w:rPr>
        <w:t>good</w:t>
      </w:r>
      <w:proofErr w:type="spellEnd"/>
      <w:r w:rsidRPr="005F6CE3">
        <w:rPr>
          <w:rFonts w:ascii="Times New Roman" w:eastAsia="Times New Roman" w:hAnsi="Times New Roman" w:cs="Times New Roman"/>
          <w:sz w:val="24"/>
          <w:szCs w:val="24"/>
          <w:lang w:eastAsia="es-AR"/>
        </w:rPr>
        <w:t xml:space="preserve"> </w:t>
      </w:r>
      <w:proofErr w:type="spellStart"/>
      <w:r w:rsidRPr="005F6CE3">
        <w:rPr>
          <w:rFonts w:ascii="Times New Roman" w:eastAsia="Times New Roman" w:hAnsi="Times New Roman" w:cs="Times New Roman"/>
          <w:sz w:val="24"/>
          <w:szCs w:val="24"/>
          <w:lang w:eastAsia="es-AR"/>
        </w:rPr>
        <w:t>behaviour</w:t>
      </w:r>
      <w:proofErr w:type="spellEnd"/>
      <w:r w:rsidRPr="005F6CE3">
        <w:rPr>
          <w:rFonts w:ascii="Times New Roman" w:eastAsia="Times New Roman" w:hAnsi="Times New Roman" w:cs="Times New Roman"/>
          <w:sz w:val="24"/>
          <w:szCs w:val="24"/>
          <w:lang w:eastAsia="es-AR"/>
        </w:rPr>
        <w:t xml:space="preserve">, New York, </w:t>
      </w:r>
      <w:proofErr w:type="spellStart"/>
      <w:r w:rsidRPr="005F6CE3">
        <w:rPr>
          <w:rFonts w:ascii="Times New Roman" w:eastAsia="Times New Roman" w:hAnsi="Times New Roman" w:cs="Times New Roman"/>
          <w:sz w:val="24"/>
          <w:szCs w:val="24"/>
          <w:lang w:eastAsia="es-AR"/>
        </w:rPr>
        <w:t>Published</w:t>
      </w:r>
      <w:proofErr w:type="spellEnd"/>
      <w:r w:rsidRPr="005F6CE3">
        <w:rPr>
          <w:rFonts w:ascii="Times New Roman" w:eastAsia="Times New Roman" w:hAnsi="Times New Roman" w:cs="Times New Roman"/>
          <w:sz w:val="24"/>
          <w:szCs w:val="24"/>
          <w:lang w:eastAsia="es-AR"/>
        </w:rPr>
        <w:t xml:space="preserve"> </w:t>
      </w:r>
      <w:proofErr w:type="spellStart"/>
      <w:r w:rsidRPr="005F6CE3">
        <w:rPr>
          <w:rFonts w:ascii="Times New Roman" w:eastAsia="Times New Roman" w:hAnsi="Times New Roman" w:cs="Times New Roman"/>
          <w:sz w:val="24"/>
          <w:szCs w:val="24"/>
          <w:lang w:eastAsia="es-AR"/>
        </w:rPr>
        <w:t>by</w:t>
      </w:r>
      <w:proofErr w:type="spellEnd"/>
      <w:r w:rsidRPr="005F6CE3">
        <w:rPr>
          <w:rFonts w:ascii="Times New Roman" w:eastAsia="Times New Roman" w:hAnsi="Times New Roman" w:cs="Times New Roman"/>
          <w:sz w:val="24"/>
          <w:szCs w:val="24"/>
          <w:lang w:eastAsia="es-AR"/>
        </w:rPr>
        <w:t xml:space="preserve"> Williams &amp; </w:t>
      </w:r>
      <w:proofErr w:type="spellStart"/>
      <w:r w:rsidRPr="005F6CE3">
        <w:rPr>
          <w:rFonts w:ascii="Times New Roman" w:eastAsia="Times New Roman" w:hAnsi="Times New Roman" w:cs="Times New Roman"/>
          <w:sz w:val="24"/>
          <w:szCs w:val="24"/>
          <w:lang w:eastAsia="es-AR"/>
        </w:rPr>
        <w:t>Whiting</w:t>
      </w:r>
      <w:proofErr w:type="spellEnd"/>
      <w:r w:rsidRPr="005F6CE3">
        <w:rPr>
          <w:rFonts w:ascii="Times New Roman" w:eastAsia="Times New Roman" w:hAnsi="Times New Roman" w:cs="Times New Roman"/>
          <w:sz w:val="24"/>
          <w:szCs w:val="24"/>
          <w:lang w:eastAsia="es-AR"/>
        </w:rPr>
        <w:t>, 1788, p. 232 —El Federalista, en la nueva constitución, una vista de la constitución del departamento judicial, en relación con la tenencia de buena conducta—); destacándose que la función de todos es la de interpretar la ley para aplicarla a casos concretos. Una de las pautas más obvias de esa interpretación es aquella según la cual cuando dos disposiciones legislativas se encuentran en contradicción el juez debe aplicar aquella prevalente. Tratándose de dos normas de igual rango, la prevalente será indicada con el usual criterio, "</w:t>
      </w:r>
      <w:proofErr w:type="spellStart"/>
      <w:r w:rsidRPr="005F6CE3">
        <w:rPr>
          <w:rFonts w:ascii="Times New Roman" w:eastAsia="Times New Roman" w:hAnsi="Times New Roman" w:cs="Times New Roman"/>
          <w:sz w:val="24"/>
          <w:szCs w:val="24"/>
          <w:lang w:eastAsia="es-AR"/>
        </w:rPr>
        <w:t>lex</w:t>
      </w:r>
      <w:proofErr w:type="spellEnd"/>
      <w:r w:rsidRPr="005F6CE3">
        <w:rPr>
          <w:rFonts w:ascii="Times New Roman" w:eastAsia="Times New Roman" w:hAnsi="Times New Roman" w:cs="Times New Roman"/>
          <w:sz w:val="24"/>
          <w:szCs w:val="24"/>
          <w:lang w:eastAsia="es-AR"/>
        </w:rPr>
        <w:t xml:space="preserve"> posterior </w:t>
      </w:r>
      <w:proofErr w:type="spellStart"/>
      <w:r w:rsidRPr="005F6CE3">
        <w:rPr>
          <w:rFonts w:ascii="Times New Roman" w:eastAsia="Times New Roman" w:hAnsi="Times New Roman" w:cs="Times New Roman"/>
          <w:sz w:val="24"/>
          <w:szCs w:val="24"/>
          <w:lang w:eastAsia="es-AR"/>
        </w:rPr>
        <w:t>derogat</w:t>
      </w:r>
      <w:proofErr w:type="spellEnd"/>
      <w:r w:rsidRPr="005F6CE3">
        <w:rPr>
          <w:rFonts w:ascii="Times New Roman" w:eastAsia="Times New Roman" w:hAnsi="Times New Roman" w:cs="Times New Roman"/>
          <w:sz w:val="24"/>
          <w:szCs w:val="24"/>
          <w:lang w:eastAsia="es-AR"/>
        </w:rPr>
        <w:t xml:space="preserve"> </w:t>
      </w:r>
      <w:proofErr w:type="spellStart"/>
      <w:r w:rsidRPr="005F6CE3">
        <w:rPr>
          <w:rFonts w:ascii="Times New Roman" w:eastAsia="Times New Roman" w:hAnsi="Times New Roman" w:cs="Times New Roman"/>
          <w:sz w:val="24"/>
          <w:szCs w:val="24"/>
          <w:lang w:eastAsia="es-AR"/>
        </w:rPr>
        <w:t>legi</w:t>
      </w:r>
      <w:proofErr w:type="spellEnd"/>
      <w:r w:rsidRPr="005F6CE3">
        <w:rPr>
          <w:rFonts w:ascii="Times New Roman" w:eastAsia="Times New Roman" w:hAnsi="Times New Roman" w:cs="Times New Roman"/>
          <w:sz w:val="24"/>
          <w:szCs w:val="24"/>
          <w:lang w:eastAsia="es-AR"/>
        </w:rPr>
        <w:t xml:space="preserve"> prior", "</w:t>
      </w:r>
      <w:proofErr w:type="spellStart"/>
      <w:r w:rsidRPr="005F6CE3">
        <w:rPr>
          <w:rFonts w:ascii="Times New Roman" w:eastAsia="Times New Roman" w:hAnsi="Times New Roman" w:cs="Times New Roman"/>
          <w:sz w:val="24"/>
          <w:szCs w:val="24"/>
          <w:lang w:eastAsia="es-AR"/>
        </w:rPr>
        <w:t>lex</w:t>
      </w:r>
      <w:proofErr w:type="spellEnd"/>
      <w:r w:rsidRPr="005F6CE3">
        <w:rPr>
          <w:rFonts w:ascii="Times New Roman" w:eastAsia="Times New Roman" w:hAnsi="Times New Roman" w:cs="Times New Roman"/>
          <w:sz w:val="24"/>
          <w:szCs w:val="24"/>
          <w:lang w:eastAsia="es-AR"/>
        </w:rPr>
        <w:t xml:space="preserve"> </w:t>
      </w:r>
      <w:proofErr w:type="spellStart"/>
      <w:r w:rsidRPr="005F6CE3">
        <w:rPr>
          <w:rFonts w:ascii="Times New Roman" w:eastAsia="Times New Roman" w:hAnsi="Times New Roman" w:cs="Times New Roman"/>
          <w:sz w:val="24"/>
          <w:szCs w:val="24"/>
          <w:lang w:eastAsia="es-AR"/>
        </w:rPr>
        <w:t>specialis</w:t>
      </w:r>
      <w:proofErr w:type="spellEnd"/>
      <w:r w:rsidRPr="005F6CE3">
        <w:rPr>
          <w:rFonts w:ascii="Times New Roman" w:eastAsia="Times New Roman" w:hAnsi="Times New Roman" w:cs="Times New Roman"/>
          <w:sz w:val="24"/>
          <w:szCs w:val="24"/>
          <w:lang w:eastAsia="es-AR"/>
        </w:rPr>
        <w:t xml:space="preserve"> derogar </w:t>
      </w:r>
      <w:proofErr w:type="spellStart"/>
      <w:r w:rsidRPr="005F6CE3">
        <w:rPr>
          <w:rFonts w:ascii="Times New Roman" w:eastAsia="Times New Roman" w:hAnsi="Times New Roman" w:cs="Times New Roman"/>
          <w:sz w:val="24"/>
          <w:szCs w:val="24"/>
          <w:lang w:eastAsia="es-AR"/>
        </w:rPr>
        <w:t>legi</w:t>
      </w:r>
      <w:proofErr w:type="spellEnd"/>
      <w:r w:rsidRPr="005F6CE3">
        <w:rPr>
          <w:rFonts w:ascii="Times New Roman" w:eastAsia="Times New Roman" w:hAnsi="Times New Roman" w:cs="Times New Roman"/>
          <w:sz w:val="24"/>
          <w:szCs w:val="24"/>
          <w:lang w:eastAsia="es-AR"/>
        </w:rPr>
        <w:t xml:space="preserve"> </w:t>
      </w:r>
      <w:proofErr w:type="spellStart"/>
      <w:r w:rsidRPr="005F6CE3">
        <w:rPr>
          <w:rFonts w:ascii="Times New Roman" w:eastAsia="Times New Roman" w:hAnsi="Times New Roman" w:cs="Times New Roman"/>
          <w:sz w:val="24"/>
          <w:szCs w:val="24"/>
          <w:lang w:eastAsia="es-AR"/>
        </w:rPr>
        <w:t>generalli</w:t>
      </w:r>
      <w:proofErr w:type="spellEnd"/>
      <w:r w:rsidRPr="005F6CE3">
        <w:rPr>
          <w:rFonts w:ascii="Times New Roman" w:eastAsia="Times New Roman" w:hAnsi="Times New Roman" w:cs="Times New Roman"/>
          <w:sz w:val="24"/>
          <w:szCs w:val="24"/>
          <w:lang w:eastAsia="es-AR"/>
        </w:rPr>
        <w:t>", etc. El mismo criterio debe aplicarse en el control de constitucionalidad, teniendo en cuenta que "</w:t>
      </w:r>
      <w:proofErr w:type="spellStart"/>
      <w:r w:rsidRPr="005F6CE3">
        <w:rPr>
          <w:rFonts w:ascii="Times New Roman" w:eastAsia="Times New Roman" w:hAnsi="Times New Roman" w:cs="Times New Roman"/>
          <w:sz w:val="24"/>
          <w:szCs w:val="24"/>
          <w:lang w:eastAsia="es-AR"/>
        </w:rPr>
        <w:t>lex</w:t>
      </w:r>
      <w:proofErr w:type="spellEnd"/>
      <w:r w:rsidRPr="005F6CE3">
        <w:rPr>
          <w:rFonts w:ascii="Times New Roman" w:eastAsia="Times New Roman" w:hAnsi="Times New Roman" w:cs="Times New Roman"/>
          <w:sz w:val="24"/>
          <w:szCs w:val="24"/>
          <w:lang w:eastAsia="es-AR"/>
        </w:rPr>
        <w:t xml:space="preserve"> superior </w:t>
      </w:r>
      <w:proofErr w:type="spellStart"/>
      <w:r w:rsidRPr="005F6CE3">
        <w:rPr>
          <w:rFonts w:ascii="Times New Roman" w:eastAsia="Times New Roman" w:hAnsi="Times New Roman" w:cs="Times New Roman"/>
          <w:sz w:val="24"/>
          <w:szCs w:val="24"/>
          <w:lang w:eastAsia="es-AR"/>
        </w:rPr>
        <w:t>derogat</w:t>
      </w:r>
      <w:proofErr w:type="spellEnd"/>
      <w:r w:rsidRPr="005F6CE3">
        <w:rPr>
          <w:rFonts w:ascii="Times New Roman" w:eastAsia="Times New Roman" w:hAnsi="Times New Roman" w:cs="Times New Roman"/>
          <w:sz w:val="24"/>
          <w:szCs w:val="24"/>
          <w:lang w:eastAsia="es-AR"/>
        </w:rPr>
        <w:t xml:space="preserve"> </w:t>
      </w:r>
      <w:proofErr w:type="spellStart"/>
      <w:r w:rsidRPr="005F6CE3">
        <w:rPr>
          <w:rFonts w:ascii="Times New Roman" w:eastAsia="Times New Roman" w:hAnsi="Times New Roman" w:cs="Times New Roman"/>
          <w:sz w:val="24"/>
          <w:szCs w:val="24"/>
          <w:lang w:eastAsia="es-AR"/>
        </w:rPr>
        <w:t>legi</w:t>
      </w:r>
      <w:proofErr w:type="spellEnd"/>
      <w:r w:rsidRPr="005F6CE3">
        <w:rPr>
          <w:rFonts w:ascii="Times New Roman" w:eastAsia="Times New Roman" w:hAnsi="Times New Roman" w:cs="Times New Roman"/>
          <w:sz w:val="24"/>
          <w:szCs w:val="24"/>
          <w:lang w:eastAsia="es-AR"/>
        </w:rPr>
        <w:t xml:space="preserve"> </w:t>
      </w:r>
      <w:proofErr w:type="spellStart"/>
      <w:r w:rsidRPr="005F6CE3">
        <w:rPr>
          <w:rFonts w:ascii="Times New Roman" w:eastAsia="Times New Roman" w:hAnsi="Times New Roman" w:cs="Times New Roman"/>
          <w:sz w:val="24"/>
          <w:szCs w:val="24"/>
          <w:lang w:eastAsia="es-AR"/>
        </w:rPr>
        <w:t>inferiori</w:t>
      </w:r>
      <w:proofErr w:type="spellEnd"/>
      <w:r w:rsidRPr="005F6CE3">
        <w:rPr>
          <w:rFonts w:ascii="Times New Roman" w:eastAsia="Times New Roman" w:hAnsi="Times New Roman" w:cs="Times New Roman"/>
          <w:sz w:val="24"/>
          <w:szCs w:val="24"/>
          <w:lang w:eastAsia="es-AR"/>
        </w:rPr>
        <w:t>", dado que se trata de disposiciones de distinta fuerza normativa (</w:t>
      </w:r>
      <w:proofErr w:type="spellStart"/>
      <w:r w:rsidRPr="005F6CE3">
        <w:rPr>
          <w:rFonts w:ascii="Times New Roman" w:eastAsia="Times New Roman" w:hAnsi="Times New Roman" w:cs="Times New Roman"/>
          <w:sz w:val="24"/>
          <w:szCs w:val="24"/>
          <w:lang w:eastAsia="es-AR"/>
        </w:rPr>
        <w:t>Cappelletti</w:t>
      </w:r>
      <w:proofErr w:type="spellEnd"/>
      <w:r w:rsidRPr="005F6CE3">
        <w:rPr>
          <w:rFonts w:ascii="Times New Roman" w:eastAsia="Times New Roman" w:hAnsi="Times New Roman" w:cs="Times New Roman"/>
          <w:sz w:val="24"/>
          <w:szCs w:val="24"/>
          <w:lang w:eastAsia="es-AR"/>
        </w:rPr>
        <w:t xml:space="preserve">, Mauro, </w:t>
      </w:r>
      <w:proofErr w:type="spellStart"/>
      <w:r w:rsidRPr="005F6CE3">
        <w:rPr>
          <w:rFonts w:ascii="Times New Roman" w:eastAsia="Times New Roman" w:hAnsi="Times New Roman" w:cs="Times New Roman"/>
          <w:sz w:val="24"/>
          <w:szCs w:val="24"/>
          <w:lang w:eastAsia="es-AR"/>
        </w:rPr>
        <w:t>Il</w:t>
      </w:r>
      <w:proofErr w:type="spellEnd"/>
      <w:r w:rsidRPr="005F6CE3">
        <w:rPr>
          <w:rFonts w:ascii="Times New Roman" w:eastAsia="Times New Roman" w:hAnsi="Times New Roman" w:cs="Times New Roman"/>
          <w:sz w:val="24"/>
          <w:szCs w:val="24"/>
          <w:lang w:eastAsia="es-AR"/>
        </w:rPr>
        <w:t xml:space="preserve"> </w:t>
      </w:r>
      <w:proofErr w:type="spellStart"/>
      <w:r w:rsidRPr="005F6CE3">
        <w:rPr>
          <w:rFonts w:ascii="Times New Roman" w:eastAsia="Times New Roman" w:hAnsi="Times New Roman" w:cs="Times New Roman"/>
          <w:sz w:val="24"/>
          <w:szCs w:val="24"/>
          <w:lang w:eastAsia="es-AR"/>
        </w:rPr>
        <w:t>controllo</w:t>
      </w:r>
      <w:proofErr w:type="spellEnd"/>
      <w:r w:rsidRPr="005F6CE3">
        <w:rPr>
          <w:rFonts w:ascii="Times New Roman" w:eastAsia="Times New Roman" w:hAnsi="Times New Roman" w:cs="Times New Roman"/>
          <w:sz w:val="24"/>
          <w:szCs w:val="24"/>
          <w:lang w:eastAsia="es-AR"/>
        </w:rPr>
        <w:t xml:space="preserve"> </w:t>
      </w:r>
      <w:proofErr w:type="spellStart"/>
      <w:r w:rsidRPr="005F6CE3">
        <w:rPr>
          <w:rFonts w:ascii="Times New Roman" w:eastAsia="Times New Roman" w:hAnsi="Times New Roman" w:cs="Times New Roman"/>
          <w:sz w:val="24"/>
          <w:szCs w:val="24"/>
          <w:lang w:eastAsia="es-AR"/>
        </w:rPr>
        <w:t>giudiziario</w:t>
      </w:r>
      <w:proofErr w:type="spellEnd"/>
      <w:r w:rsidRPr="005F6CE3">
        <w:rPr>
          <w:rFonts w:ascii="Times New Roman" w:eastAsia="Times New Roman" w:hAnsi="Times New Roman" w:cs="Times New Roman"/>
          <w:sz w:val="24"/>
          <w:szCs w:val="24"/>
          <w:lang w:eastAsia="es-AR"/>
        </w:rPr>
        <w:t xml:space="preserve">, </w:t>
      </w:r>
      <w:proofErr w:type="spellStart"/>
      <w:r w:rsidRPr="005F6CE3">
        <w:rPr>
          <w:rFonts w:ascii="Times New Roman" w:eastAsia="Times New Roman" w:hAnsi="Times New Roman" w:cs="Times New Roman"/>
          <w:sz w:val="24"/>
          <w:szCs w:val="24"/>
          <w:lang w:eastAsia="es-AR"/>
        </w:rPr>
        <w:t>ob</w:t>
      </w:r>
      <w:proofErr w:type="spellEnd"/>
      <w:r w:rsidRPr="005F6CE3">
        <w:rPr>
          <w:rFonts w:ascii="Times New Roman" w:eastAsia="Times New Roman" w:hAnsi="Times New Roman" w:cs="Times New Roman"/>
          <w:sz w:val="24"/>
          <w:szCs w:val="24"/>
          <w:lang w:eastAsia="es-AR"/>
        </w:rPr>
        <w:t xml:space="preserve"> cit., p. 60).</w:t>
      </w:r>
    </w:p>
    <w:p w:rsidR="005F6CE3" w:rsidRPr="005F6CE3" w:rsidRDefault="005F6CE3" w:rsidP="005F6CE3">
      <w:pPr>
        <w:spacing w:before="100" w:beforeAutospacing="1" w:after="100" w:afterAutospacing="1" w:line="240" w:lineRule="auto"/>
        <w:rPr>
          <w:rFonts w:ascii="Times New Roman" w:eastAsia="Times New Roman" w:hAnsi="Times New Roman" w:cs="Times New Roman"/>
          <w:sz w:val="24"/>
          <w:szCs w:val="24"/>
          <w:lang w:eastAsia="es-AR"/>
        </w:rPr>
      </w:pPr>
      <w:r w:rsidRPr="005F6CE3">
        <w:rPr>
          <w:rFonts w:ascii="Times New Roman" w:eastAsia="Times New Roman" w:hAnsi="Times New Roman" w:cs="Times New Roman"/>
          <w:sz w:val="24"/>
          <w:szCs w:val="24"/>
          <w:lang w:eastAsia="es-AR"/>
        </w:rPr>
        <w:t>Esta misma línea de pensamiento fue recogida por Marshall para fundar definitivamente el control difuso de constitucionalidad en cabeza del Poder Judicial. El eminente jurista se preguntó si era posible que la Constitución fuera modificada por una ley emanada del Congreso o si aquella debía prevalecer sobre los actos legislativos sin que frente a tal interrogante, pudiera existir una posibilidad o camino intermedio. Ante esa disquisición estableció claramente la primacía de una Constitución rígida que no podía ser modificada por las normas dictadas por el Poder Legislativo (5 U.S. 137 (</w:t>
      </w:r>
      <w:proofErr w:type="spellStart"/>
      <w:r w:rsidRPr="005F6CE3">
        <w:rPr>
          <w:rFonts w:ascii="Times New Roman" w:eastAsia="Times New Roman" w:hAnsi="Times New Roman" w:cs="Times New Roman"/>
          <w:sz w:val="24"/>
          <w:szCs w:val="24"/>
          <w:lang w:eastAsia="es-AR"/>
        </w:rPr>
        <w:t>Cranch</w:t>
      </w:r>
      <w:proofErr w:type="spellEnd"/>
      <w:r w:rsidRPr="005F6CE3">
        <w:rPr>
          <w:rFonts w:ascii="Times New Roman" w:eastAsia="Times New Roman" w:hAnsi="Times New Roman" w:cs="Times New Roman"/>
          <w:sz w:val="24"/>
          <w:szCs w:val="24"/>
          <w:lang w:eastAsia="es-AR"/>
        </w:rPr>
        <w:t xml:space="preserve">), William </w:t>
      </w:r>
      <w:proofErr w:type="spellStart"/>
      <w:r w:rsidRPr="005F6CE3">
        <w:rPr>
          <w:rFonts w:ascii="Times New Roman" w:eastAsia="Times New Roman" w:hAnsi="Times New Roman" w:cs="Times New Roman"/>
          <w:sz w:val="24"/>
          <w:szCs w:val="24"/>
          <w:lang w:eastAsia="es-AR"/>
        </w:rPr>
        <w:t>Marbury</w:t>
      </w:r>
      <w:proofErr w:type="spellEnd"/>
      <w:r w:rsidRPr="005F6CE3">
        <w:rPr>
          <w:rFonts w:ascii="Times New Roman" w:eastAsia="Times New Roman" w:hAnsi="Times New Roman" w:cs="Times New Roman"/>
          <w:sz w:val="24"/>
          <w:szCs w:val="24"/>
          <w:lang w:eastAsia="es-AR"/>
        </w:rPr>
        <w:t xml:space="preserve">; James Madison, </w:t>
      </w:r>
      <w:proofErr w:type="spellStart"/>
      <w:r w:rsidRPr="005F6CE3">
        <w:rPr>
          <w:rFonts w:ascii="Times New Roman" w:eastAsia="Times New Roman" w:hAnsi="Times New Roman" w:cs="Times New Roman"/>
          <w:sz w:val="24"/>
          <w:szCs w:val="24"/>
          <w:lang w:eastAsia="es-AR"/>
        </w:rPr>
        <w:t>Secretary</w:t>
      </w:r>
      <w:proofErr w:type="spellEnd"/>
      <w:r w:rsidRPr="005F6CE3">
        <w:rPr>
          <w:rFonts w:ascii="Times New Roman" w:eastAsia="Times New Roman" w:hAnsi="Times New Roman" w:cs="Times New Roman"/>
          <w:sz w:val="24"/>
          <w:szCs w:val="24"/>
          <w:lang w:eastAsia="es-AR"/>
        </w:rPr>
        <w:t xml:space="preserve"> of </w:t>
      </w:r>
      <w:proofErr w:type="spellStart"/>
      <w:r w:rsidRPr="005F6CE3">
        <w:rPr>
          <w:rFonts w:ascii="Times New Roman" w:eastAsia="Times New Roman" w:hAnsi="Times New Roman" w:cs="Times New Roman"/>
          <w:sz w:val="24"/>
          <w:szCs w:val="24"/>
          <w:lang w:eastAsia="es-AR"/>
        </w:rPr>
        <w:t>State</w:t>
      </w:r>
      <w:proofErr w:type="spellEnd"/>
      <w:r w:rsidRPr="005F6CE3">
        <w:rPr>
          <w:rFonts w:ascii="Times New Roman" w:eastAsia="Times New Roman" w:hAnsi="Times New Roman" w:cs="Times New Roman"/>
          <w:sz w:val="24"/>
          <w:szCs w:val="24"/>
          <w:lang w:eastAsia="es-AR"/>
        </w:rPr>
        <w:t xml:space="preserve"> of </w:t>
      </w:r>
      <w:proofErr w:type="spellStart"/>
      <w:r w:rsidRPr="005F6CE3">
        <w:rPr>
          <w:rFonts w:ascii="Times New Roman" w:eastAsia="Times New Roman" w:hAnsi="Times New Roman" w:cs="Times New Roman"/>
          <w:sz w:val="24"/>
          <w:szCs w:val="24"/>
          <w:lang w:eastAsia="es-AR"/>
        </w:rPr>
        <w:t>the</w:t>
      </w:r>
      <w:proofErr w:type="spellEnd"/>
      <w:r w:rsidRPr="005F6CE3">
        <w:rPr>
          <w:rFonts w:ascii="Times New Roman" w:eastAsia="Times New Roman" w:hAnsi="Times New Roman" w:cs="Times New Roman"/>
          <w:sz w:val="24"/>
          <w:szCs w:val="24"/>
          <w:lang w:eastAsia="es-AR"/>
        </w:rPr>
        <w:t xml:space="preserve"> </w:t>
      </w:r>
      <w:proofErr w:type="spellStart"/>
      <w:r w:rsidRPr="005F6CE3">
        <w:rPr>
          <w:rFonts w:ascii="Times New Roman" w:eastAsia="Times New Roman" w:hAnsi="Times New Roman" w:cs="Times New Roman"/>
          <w:sz w:val="24"/>
          <w:szCs w:val="24"/>
          <w:lang w:eastAsia="es-AR"/>
        </w:rPr>
        <w:t>United</w:t>
      </w:r>
      <w:proofErr w:type="spellEnd"/>
      <w:r w:rsidRPr="005F6CE3">
        <w:rPr>
          <w:rFonts w:ascii="Times New Roman" w:eastAsia="Times New Roman" w:hAnsi="Times New Roman" w:cs="Times New Roman"/>
          <w:sz w:val="24"/>
          <w:szCs w:val="24"/>
          <w:lang w:eastAsia="es-AR"/>
        </w:rPr>
        <w:t xml:space="preserve"> </w:t>
      </w:r>
      <w:proofErr w:type="spellStart"/>
      <w:r w:rsidRPr="005F6CE3">
        <w:rPr>
          <w:rFonts w:ascii="Times New Roman" w:eastAsia="Times New Roman" w:hAnsi="Times New Roman" w:cs="Times New Roman"/>
          <w:sz w:val="24"/>
          <w:szCs w:val="24"/>
          <w:lang w:eastAsia="es-AR"/>
        </w:rPr>
        <w:t>States</w:t>
      </w:r>
      <w:proofErr w:type="spellEnd"/>
      <w:r w:rsidRPr="005F6CE3">
        <w:rPr>
          <w:rFonts w:ascii="Times New Roman" w:eastAsia="Times New Roman" w:hAnsi="Times New Roman" w:cs="Times New Roman"/>
          <w:sz w:val="24"/>
          <w:szCs w:val="24"/>
          <w:lang w:eastAsia="es-AR"/>
        </w:rPr>
        <w:t xml:space="preserve">, </w:t>
      </w:r>
      <w:proofErr w:type="spellStart"/>
      <w:r w:rsidRPr="005F6CE3">
        <w:rPr>
          <w:rFonts w:ascii="Times New Roman" w:eastAsia="Times New Roman" w:hAnsi="Times New Roman" w:cs="Times New Roman"/>
          <w:sz w:val="24"/>
          <w:szCs w:val="24"/>
          <w:lang w:eastAsia="es-AR"/>
        </w:rPr>
        <w:t>February</w:t>
      </w:r>
      <w:proofErr w:type="spellEnd"/>
      <w:r w:rsidRPr="005F6CE3">
        <w:rPr>
          <w:rFonts w:ascii="Times New Roman" w:eastAsia="Times New Roman" w:hAnsi="Times New Roman" w:cs="Times New Roman"/>
          <w:sz w:val="24"/>
          <w:szCs w:val="24"/>
          <w:lang w:eastAsia="es-AR"/>
        </w:rPr>
        <w:t xml:space="preserve"> </w:t>
      </w:r>
      <w:proofErr w:type="spellStart"/>
      <w:r w:rsidRPr="005F6CE3">
        <w:rPr>
          <w:rFonts w:ascii="Times New Roman" w:eastAsia="Times New Roman" w:hAnsi="Times New Roman" w:cs="Times New Roman"/>
          <w:sz w:val="24"/>
          <w:szCs w:val="24"/>
          <w:lang w:eastAsia="es-AR"/>
        </w:rPr>
        <w:t>Term</w:t>
      </w:r>
      <w:proofErr w:type="spellEnd"/>
      <w:r w:rsidRPr="005F6CE3">
        <w:rPr>
          <w:rFonts w:ascii="Times New Roman" w:eastAsia="Times New Roman" w:hAnsi="Times New Roman" w:cs="Times New Roman"/>
          <w:sz w:val="24"/>
          <w:szCs w:val="24"/>
          <w:lang w:eastAsia="es-AR"/>
        </w:rPr>
        <w:t>, 1803); de manera que constituía un deber para los jueces no aplicar ese tipo de normas.</w:t>
      </w:r>
    </w:p>
    <w:p w:rsidR="005F6CE3" w:rsidRPr="005F6CE3" w:rsidRDefault="005F6CE3" w:rsidP="005F6CE3">
      <w:pPr>
        <w:spacing w:before="100" w:beforeAutospacing="1" w:after="100" w:afterAutospacing="1" w:line="240" w:lineRule="auto"/>
        <w:rPr>
          <w:rFonts w:ascii="Times New Roman" w:eastAsia="Times New Roman" w:hAnsi="Times New Roman" w:cs="Times New Roman"/>
          <w:sz w:val="24"/>
          <w:szCs w:val="24"/>
          <w:lang w:eastAsia="es-AR"/>
        </w:rPr>
      </w:pPr>
      <w:r w:rsidRPr="005F6CE3">
        <w:rPr>
          <w:rFonts w:ascii="Times New Roman" w:eastAsia="Times New Roman" w:hAnsi="Times New Roman" w:cs="Times New Roman"/>
          <w:sz w:val="24"/>
          <w:szCs w:val="24"/>
          <w:lang w:eastAsia="es-AR"/>
        </w:rPr>
        <w:t xml:space="preserve">El sistema de control norteamericano fue </w:t>
      </w:r>
      <w:proofErr w:type="spellStart"/>
      <w:r w:rsidRPr="005F6CE3">
        <w:rPr>
          <w:rFonts w:ascii="Times New Roman" w:eastAsia="Times New Roman" w:hAnsi="Times New Roman" w:cs="Times New Roman"/>
          <w:sz w:val="24"/>
          <w:szCs w:val="24"/>
          <w:lang w:eastAsia="es-AR"/>
        </w:rPr>
        <w:t>transplantado</w:t>
      </w:r>
      <w:proofErr w:type="spellEnd"/>
      <w:r w:rsidRPr="005F6CE3">
        <w:rPr>
          <w:rFonts w:ascii="Times New Roman" w:eastAsia="Times New Roman" w:hAnsi="Times New Roman" w:cs="Times New Roman"/>
          <w:sz w:val="24"/>
          <w:szCs w:val="24"/>
          <w:lang w:eastAsia="es-AR"/>
        </w:rPr>
        <w:t xml:space="preserve"> a nuestro medio en el caso "Sojo, Eduardo c/ Cámara de Diputados de la Nación" de 1887, en el cual la Corte Federal se encargó de transcribir las nociones fijadas en el precedente norteamericano. Y mucho más recientemente en el tiempo, y luego de un recorrido marcado por avances y retrocesos, dicha Corte admitió la posibilidad de declarar la inconstitucionalidad del precepto, con alance al caso concreto en el cual se examina (art. 2° de la ley 27), en forma oficiosa (Ver "</w:t>
      </w:r>
      <w:proofErr w:type="spellStart"/>
      <w:r w:rsidRPr="005F6CE3">
        <w:rPr>
          <w:rFonts w:ascii="Times New Roman" w:eastAsia="Times New Roman" w:hAnsi="Times New Roman" w:cs="Times New Roman"/>
          <w:sz w:val="24"/>
          <w:szCs w:val="24"/>
          <w:lang w:eastAsia="es-AR"/>
        </w:rPr>
        <w:t>Mill</w:t>
      </w:r>
      <w:proofErr w:type="spellEnd"/>
      <w:r w:rsidRPr="005F6CE3">
        <w:rPr>
          <w:rFonts w:ascii="Times New Roman" w:eastAsia="Times New Roman" w:hAnsi="Times New Roman" w:cs="Times New Roman"/>
          <w:sz w:val="24"/>
          <w:szCs w:val="24"/>
          <w:lang w:eastAsia="es-AR"/>
        </w:rPr>
        <w:t xml:space="preserve"> de Pereyra y otro c. Provincia de Corrientes", 27/9/01, LA LEY, 2001-F, 891 y ratificada en "Banco Comercial de Finanzas S.A.", Fallos 327:3117 y en 31/8/2010, "Videla, Jorge Rafael y </w:t>
      </w:r>
      <w:proofErr w:type="spellStart"/>
      <w:r w:rsidRPr="005F6CE3">
        <w:rPr>
          <w:rFonts w:ascii="Times New Roman" w:eastAsia="Times New Roman" w:hAnsi="Times New Roman" w:cs="Times New Roman"/>
          <w:sz w:val="24"/>
          <w:szCs w:val="24"/>
          <w:lang w:eastAsia="es-AR"/>
        </w:rPr>
        <w:t>Massera</w:t>
      </w:r>
      <w:proofErr w:type="spellEnd"/>
      <w:r w:rsidRPr="005F6CE3">
        <w:rPr>
          <w:rFonts w:ascii="Times New Roman" w:eastAsia="Times New Roman" w:hAnsi="Times New Roman" w:cs="Times New Roman"/>
          <w:sz w:val="24"/>
          <w:szCs w:val="24"/>
          <w:lang w:eastAsia="es-AR"/>
        </w:rPr>
        <w:t>, Emilio Eduardo", LA LEY, 09/09/2010, 7).</w:t>
      </w:r>
    </w:p>
    <w:p w:rsidR="005F6CE3" w:rsidRPr="005F6CE3" w:rsidRDefault="005F6CE3" w:rsidP="005F6CE3">
      <w:pPr>
        <w:spacing w:before="100" w:beforeAutospacing="1" w:after="100" w:afterAutospacing="1" w:line="240" w:lineRule="auto"/>
        <w:rPr>
          <w:rFonts w:ascii="Times New Roman" w:eastAsia="Times New Roman" w:hAnsi="Times New Roman" w:cs="Times New Roman"/>
          <w:sz w:val="24"/>
          <w:szCs w:val="24"/>
          <w:lang w:eastAsia="es-AR"/>
        </w:rPr>
      </w:pPr>
      <w:r w:rsidRPr="005F6CE3">
        <w:rPr>
          <w:rFonts w:ascii="Times New Roman" w:eastAsia="Times New Roman" w:hAnsi="Times New Roman" w:cs="Times New Roman"/>
          <w:sz w:val="24"/>
          <w:szCs w:val="24"/>
          <w:lang w:eastAsia="es-AR"/>
        </w:rPr>
        <w:t xml:space="preserve">Para habilitar la declaración de inconstitucionalidad de oficio sólo será necesario que exista una pretensión que reclame una prestación determinada, que exista una norma, no cuestionada por el pretensor, que lo impida y que ésta sea contraria a otra de jerarquía superior. Todo ello en el marco de un "caso" o "controversia", de forma tal que efectuado el control de constitucionalidad en ese contexto no violará ni la división de poderes —exista o no petición de la parte—, ni el derecho de defensa de los litigantes; los cuales han tenido la oportunidad de expedirse con libertad sobre la cuestión propuesta (cfr. </w:t>
      </w:r>
      <w:proofErr w:type="spellStart"/>
      <w:r w:rsidRPr="005F6CE3">
        <w:rPr>
          <w:rFonts w:ascii="Times New Roman" w:eastAsia="Times New Roman" w:hAnsi="Times New Roman" w:cs="Times New Roman"/>
          <w:sz w:val="24"/>
          <w:szCs w:val="24"/>
          <w:lang w:eastAsia="es-AR"/>
        </w:rPr>
        <w:t>Trionfetti</w:t>
      </w:r>
      <w:proofErr w:type="spellEnd"/>
      <w:r w:rsidRPr="005F6CE3">
        <w:rPr>
          <w:rFonts w:ascii="Times New Roman" w:eastAsia="Times New Roman" w:hAnsi="Times New Roman" w:cs="Times New Roman"/>
          <w:sz w:val="24"/>
          <w:szCs w:val="24"/>
          <w:lang w:eastAsia="es-AR"/>
        </w:rPr>
        <w:t xml:space="preserve">, Víctor R., en Falcón, Enrique M., Tratado de Derecho Procesal Constitucional, T. I, </w:t>
      </w:r>
      <w:proofErr w:type="spellStart"/>
      <w:r w:rsidRPr="005F6CE3">
        <w:rPr>
          <w:rFonts w:ascii="Times New Roman" w:eastAsia="Times New Roman" w:hAnsi="Times New Roman" w:cs="Times New Roman"/>
          <w:sz w:val="24"/>
          <w:szCs w:val="24"/>
          <w:lang w:eastAsia="es-AR"/>
        </w:rPr>
        <w:t>Rubinzal</w:t>
      </w:r>
      <w:proofErr w:type="spellEnd"/>
      <w:r w:rsidRPr="005F6CE3">
        <w:rPr>
          <w:rFonts w:ascii="Times New Roman" w:eastAsia="Times New Roman" w:hAnsi="Times New Roman" w:cs="Times New Roman"/>
          <w:sz w:val="24"/>
          <w:szCs w:val="24"/>
          <w:lang w:eastAsia="es-AR"/>
        </w:rPr>
        <w:t xml:space="preserve"> </w:t>
      </w:r>
      <w:proofErr w:type="spellStart"/>
      <w:r w:rsidRPr="005F6CE3">
        <w:rPr>
          <w:rFonts w:ascii="Times New Roman" w:eastAsia="Times New Roman" w:hAnsi="Times New Roman" w:cs="Times New Roman"/>
          <w:sz w:val="24"/>
          <w:szCs w:val="24"/>
          <w:lang w:eastAsia="es-AR"/>
        </w:rPr>
        <w:t>Culzoni</w:t>
      </w:r>
      <w:proofErr w:type="spellEnd"/>
      <w:r w:rsidRPr="005F6CE3">
        <w:rPr>
          <w:rFonts w:ascii="Times New Roman" w:eastAsia="Times New Roman" w:hAnsi="Times New Roman" w:cs="Times New Roman"/>
          <w:sz w:val="24"/>
          <w:szCs w:val="24"/>
          <w:lang w:eastAsia="es-AR"/>
        </w:rPr>
        <w:t>, Santa Fe, 2010, p. 536). Con tal inteligencia, en conclusión, se hará lugar al recurso y se procederá a declarar la inconstitucionalidad mencionada.</w:t>
      </w:r>
    </w:p>
    <w:p w:rsidR="005F6CE3" w:rsidRPr="005F6CE3" w:rsidRDefault="005F6CE3" w:rsidP="005F6CE3">
      <w:pPr>
        <w:spacing w:before="100" w:beforeAutospacing="1" w:after="100" w:afterAutospacing="1" w:line="240" w:lineRule="auto"/>
        <w:rPr>
          <w:rFonts w:ascii="Times New Roman" w:eastAsia="Times New Roman" w:hAnsi="Times New Roman" w:cs="Times New Roman"/>
          <w:sz w:val="24"/>
          <w:szCs w:val="24"/>
          <w:lang w:eastAsia="es-AR"/>
        </w:rPr>
      </w:pPr>
      <w:r w:rsidRPr="005F6CE3">
        <w:rPr>
          <w:rFonts w:ascii="Times New Roman" w:eastAsia="Times New Roman" w:hAnsi="Times New Roman" w:cs="Times New Roman"/>
          <w:sz w:val="24"/>
          <w:szCs w:val="24"/>
          <w:lang w:eastAsia="es-AR"/>
        </w:rPr>
        <w:lastRenderedPageBreak/>
        <w:t>IX.- El modo en esta Sala decide la cuestión conduce a quo las costas en ambas instancias sean impuestas en el orden causado, dado que estamos ante un tema novedoso y que ha generado controversias; por lo que los litigantes vencidos se encontraban con fundadas razones para controvertir los derechos en juego (art. 68 del CPCCN).</w:t>
      </w:r>
    </w:p>
    <w:p w:rsidR="005F6CE3" w:rsidRPr="005F6CE3" w:rsidRDefault="005F6CE3" w:rsidP="005F6CE3">
      <w:pPr>
        <w:spacing w:before="100" w:beforeAutospacing="1" w:after="100" w:afterAutospacing="1" w:line="240" w:lineRule="auto"/>
        <w:rPr>
          <w:rFonts w:ascii="Times New Roman" w:eastAsia="Times New Roman" w:hAnsi="Times New Roman" w:cs="Times New Roman"/>
          <w:sz w:val="24"/>
          <w:szCs w:val="24"/>
          <w:lang w:eastAsia="es-AR"/>
        </w:rPr>
      </w:pPr>
      <w:r w:rsidRPr="005F6CE3">
        <w:rPr>
          <w:rFonts w:ascii="Times New Roman" w:eastAsia="Times New Roman" w:hAnsi="Times New Roman" w:cs="Times New Roman"/>
          <w:sz w:val="24"/>
          <w:szCs w:val="24"/>
          <w:lang w:eastAsia="es-AR"/>
        </w:rPr>
        <w:t>X.- Por lo expuesto se resuelve: Revocar la resolución de fs. 67, declarar la inconstitucionalidad del art. 3576 bis del Código Civil en los términos precedentemente expuestos y ampliar la declaratoria de herederos de fs. 23. En consecuencia, se incluye como heredero a M. J. M., quien ha acreditado los vínculos respectivos, y con los alcances previstos en la norma citada.</w:t>
      </w:r>
    </w:p>
    <w:p w:rsidR="005F6CE3" w:rsidRPr="005F6CE3" w:rsidRDefault="005F6CE3" w:rsidP="005F6CE3">
      <w:pPr>
        <w:spacing w:before="100" w:beforeAutospacing="1" w:after="100" w:afterAutospacing="1" w:line="240" w:lineRule="auto"/>
        <w:rPr>
          <w:rFonts w:ascii="Times New Roman" w:eastAsia="Times New Roman" w:hAnsi="Times New Roman" w:cs="Times New Roman"/>
          <w:sz w:val="24"/>
          <w:szCs w:val="24"/>
          <w:lang w:eastAsia="es-AR"/>
        </w:rPr>
      </w:pPr>
      <w:r w:rsidRPr="005F6CE3">
        <w:rPr>
          <w:rFonts w:ascii="Times New Roman" w:eastAsia="Times New Roman" w:hAnsi="Times New Roman" w:cs="Times New Roman"/>
          <w:sz w:val="24"/>
          <w:szCs w:val="24"/>
          <w:lang w:eastAsia="es-AR"/>
        </w:rPr>
        <w:t>Las costas en ambas instancias se imponen en el orden causado.</w:t>
      </w:r>
    </w:p>
    <w:p w:rsidR="005F6CE3" w:rsidRPr="005F6CE3" w:rsidRDefault="005F6CE3" w:rsidP="005F6CE3">
      <w:pPr>
        <w:spacing w:before="100" w:beforeAutospacing="1" w:after="100" w:afterAutospacing="1" w:line="240" w:lineRule="auto"/>
        <w:rPr>
          <w:rFonts w:ascii="Times New Roman" w:eastAsia="Times New Roman" w:hAnsi="Times New Roman" w:cs="Times New Roman"/>
          <w:sz w:val="24"/>
          <w:szCs w:val="24"/>
          <w:lang w:eastAsia="es-AR"/>
        </w:rPr>
      </w:pPr>
      <w:r w:rsidRPr="005F6CE3">
        <w:rPr>
          <w:rFonts w:ascii="Times New Roman" w:eastAsia="Times New Roman" w:hAnsi="Times New Roman" w:cs="Times New Roman"/>
          <w:sz w:val="24"/>
          <w:szCs w:val="24"/>
          <w:lang w:eastAsia="es-AR"/>
        </w:rPr>
        <w:t>La Vocalía n° 5 no interviene por encontrarse vacante.</w:t>
      </w:r>
    </w:p>
    <w:p w:rsidR="005F6CE3" w:rsidRPr="005F6CE3" w:rsidRDefault="005F6CE3" w:rsidP="005F6CE3">
      <w:pPr>
        <w:spacing w:before="100" w:beforeAutospacing="1" w:after="100" w:afterAutospacing="1" w:line="240" w:lineRule="auto"/>
        <w:rPr>
          <w:rFonts w:ascii="Times New Roman" w:eastAsia="Times New Roman" w:hAnsi="Times New Roman" w:cs="Times New Roman"/>
          <w:sz w:val="24"/>
          <w:szCs w:val="24"/>
          <w:lang w:eastAsia="es-AR"/>
        </w:rPr>
      </w:pPr>
      <w:r w:rsidRPr="005F6CE3">
        <w:rPr>
          <w:rFonts w:ascii="Times New Roman" w:eastAsia="Times New Roman" w:hAnsi="Times New Roman" w:cs="Times New Roman"/>
          <w:sz w:val="24"/>
          <w:szCs w:val="24"/>
          <w:lang w:eastAsia="es-AR"/>
        </w:rPr>
        <w:t xml:space="preserve">Notifíquese, al Sr. Fiscal de Cámara en su despacho, y oportunamente devuélvanse las actuaciones a la instancia de grado. —Mauricio Luis </w:t>
      </w:r>
      <w:proofErr w:type="spellStart"/>
      <w:r w:rsidRPr="005F6CE3">
        <w:rPr>
          <w:rFonts w:ascii="Times New Roman" w:eastAsia="Times New Roman" w:hAnsi="Times New Roman" w:cs="Times New Roman"/>
          <w:sz w:val="24"/>
          <w:szCs w:val="24"/>
          <w:lang w:eastAsia="es-AR"/>
        </w:rPr>
        <w:t>Mizrahi</w:t>
      </w:r>
      <w:proofErr w:type="spellEnd"/>
      <w:r w:rsidRPr="005F6CE3">
        <w:rPr>
          <w:rFonts w:ascii="Times New Roman" w:eastAsia="Times New Roman" w:hAnsi="Times New Roman" w:cs="Times New Roman"/>
          <w:sz w:val="24"/>
          <w:szCs w:val="24"/>
          <w:lang w:eastAsia="es-AR"/>
        </w:rPr>
        <w:t xml:space="preserve">. —Claudio Ramos </w:t>
      </w:r>
      <w:proofErr w:type="spellStart"/>
      <w:r w:rsidRPr="005F6CE3">
        <w:rPr>
          <w:rFonts w:ascii="Times New Roman" w:eastAsia="Times New Roman" w:hAnsi="Times New Roman" w:cs="Times New Roman"/>
          <w:sz w:val="24"/>
          <w:szCs w:val="24"/>
          <w:lang w:eastAsia="es-AR"/>
        </w:rPr>
        <w:t>Feijóo</w:t>
      </w:r>
      <w:proofErr w:type="spellEnd"/>
      <w:r w:rsidRPr="005F6CE3">
        <w:rPr>
          <w:rFonts w:ascii="Times New Roman" w:eastAsia="Times New Roman" w:hAnsi="Times New Roman" w:cs="Times New Roman"/>
          <w:sz w:val="24"/>
          <w:szCs w:val="24"/>
          <w:lang w:eastAsia="es-AR"/>
        </w:rPr>
        <w:t>.</w:t>
      </w:r>
    </w:p>
    <w:p w:rsidR="00467085" w:rsidRDefault="00467085"/>
    <w:sectPr w:rsidR="00467085"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A31DE"/>
    <w:multiLevelType w:val="multilevel"/>
    <w:tmpl w:val="11D0A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5F6CE3"/>
    <w:rsid w:val="000D4538"/>
    <w:rsid w:val="0031265A"/>
    <w:rsid w:val="00316EC0"/>
    <w:rsid w:val="00467085"/>
    <w:rsid w:val="005F6CE3"/>
    <w:rsid w:val="00641F7F"/>
    <w:rsid w:val="00943D0A"/>
    <w:rsid w:val="00A0190C"/>
    <w:rsid w:val="00BD6298"/>
    <w:rsid w:val="00F41C3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0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ocumenttitle">
    <w:name w:val="documenttitle"/>
    <w:basedOn w:val="Normal"/>
    <w:rsid w:val="005F6CE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documensubttitle">
    <w:name w:val="documensubttitle"/>
    <w:basedOn w:val="Fuentedeprrafopredeter"/>
    <w:rsid w:val="005F6CE3"/>
  </w:style>
  <w:style w:type="character" w:customStyle="1" w:styleId="relatedinfobox">
    <w:name w:val="relatedinfobox"/>
    <w:basedOn w:val="Fuentedeprrafopredeter"/>
    <w:rsid w:val="005F6CE3"/>
  </w:style>
  <w:style w:type="character" w:customStyle="1" w:styleId="arrowbutton">
    <w:name w:val="arrowbutton"/>
    <w:basedOn w:val="Fuentedeprrafopredeter"/>
    <w:rsid w:val="005F6CE3"/>
  </w:style>
  <w:style w:type="paragraph" w:customStyle="1" w:styleId="headadjust">
    <w:name w:val="headadjust"/>
    <w:basedOn w:val="Normal"/>
    <w:rsid w:val="005F6CE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headtitle">
    <w:name w:val="headtitle"/>
    <w:basedOn w:val="Fuentedeprrafopredeter"/>
    <w:rsid w:val="005F6CE3"/>
  </w:style>
  <w:style w:type="character" w:customStyle="1" w:styleId="headtext">
    <w:name w:val="headtext"/>
    <w:basedOn w:val="Fuentedeprrafopredeter"/>
    <w:rsid w:val="005F6CE3"/>
  </w:style>
  <w:style w:type="paragraph" w:customStyle="1" w:styleId="boxfallostitle">
    <w:name w:val="boxfallostitle"/>
    <w:basedOn w:val="Normal"/>
    <w:rsid w:val="005F6CE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content">
    <w:name w:val="content"/>
    <w:basedOn w:val="Normal"/>
    <w:rsid w:val="005F6CE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searchterm">
    <w:name w:val="searchterm"/>
    <w:basedOn w:val="Fuentedeprrafopredeter"/>
    <w:rsid w:val="005F6CE3"/>
  </w:style>
  <w:style w:type="character" w:customStyle="1" w:styleId="opentext">
    <w:name w:val="opentext"/>
    <w:basedOn w:val="Fuentedeprrafopredeter"/>
    <w:rsid w:val="005F6CE3"/>
  </w:style>
  <w:style w:type="character" w:customStyle="1" w:styleId="titulotextocompleto">
    <w:name w:val="titulotextocompleto"/>
    <w:basedOn w:val="Fuentedeprrafopredeter"/>
    <w:rsid w:val="005F6C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545795">
      <w:bodyDiv w:val="1"/>
      <w:marLeft w:val="0"/>
      <w:marRight w:val="0"/>
      <w:marTop w:val="0"/>
      <w:marBottom w:val="0"/>
      <w:divBdr>
        <w:top w:val="none" w:sz="0" w:space="0" w:color="auto"/>
        <w:left w:val="none" w:sz="0" w:space="0" w:color="auto"/>
        <w:bottom w:val="none" w:sz="0" w:space="0" w:color="auto"/>
        <w:right w:val="none" w:sz="0" w:space="0" w:color="auto"/>
      </w:divBdr>
      <w:divsChild>
        <w:div w:id="1788038330">
          <w:marLeft w:val="0"/>
          <w:marRight w:val="0"/>
          <w:marTop w:val="0"/>
          <w:marBottom w:val="0"/>
          <w:divBdr>
            <w:top w:val="none" w:sz="0" w:space="0" w:color="auto"/>
            <w:left w:val="none" w:sz="0" w:space="0" w:color="auto"/>
            <w:bottom w:val="none" w:sz="0" w:space="0" w:color="auto"/>
            <w:right w:val="none" w:sz="0" w:space="0" w:color="auto"/>
          </w:divBdr>
          <w:divsChild>
            <w:div w:id="189757107">
              <w:marLeft w:val="0"/>
              <w:marRight w:val="0"/>
              <w:marTop w:val="0"/>
              <w:marBottom w:val="0"/>
              <w:divBdr>
                <w:top w:val="none" w:sz="0" w:space="0" w:color="auto"/>
                <w:left w:val="none" w:sz="0" w:space="0" w:color="auto"/>
                <w:bottom w:val="none" w:sz="0" w:space="0" w:color="auto"/>
                <w:right w:val="none" w:sz="0" w:space="0" w:color="auto"/>
              </w:divBdr>
              <w:divsChild>
                <w:div w:id="55385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11673">
          <w:marLeft w:val="0"/>
          <w:marRight w:val="0"/>
          <w:marTop w:val="0"/>
          <w:marBottom w:val="0"/>
          <w:divBdr>
            <w:top w:val="none" w:sz="0" w:space="0" w:color="auto"/>
            <w:left w:val="none" w:sz="0" w:space="0" w:color="auto"/>
            <w:bottom w:val="none" w:sz="0" w:space="0" w:color="auto"/>
            <w:right w:val="none" w:sz="0" w:space="0" w:color="auto"/>
          </w:divBdr>
          <w:divsChild>
            <w:div w:id="431703981">
              <w:marLeft w:val="0"/>
              <w:marRight w:val="0"/>
              <w:marTop w:val="0"/>
              <w:marBottom w:val="0"/>
              <w:divBdr>
                <w:top w:val="none" w:sz="0" w:space="0" w:color="auto"/>
                <w:left w:val="none" w:sz="0" w:space="0" w:color="auto"/>
                <w:bottom w:val="none" w:sz="0" w:space="0" w:color="auto"/>
                <w:right w:val="none" w:sz="0" w:space="0" w:color="auto"/>
              </w:divBdr>
            </w:div>
            <w:div w:id="1035615898">
              <w:marLeft w:val="0"/>
              <w:marRight w:val="0"/>
              <w:marTop w:val="0"/>
              <w:marBottom w:val="0"/>
              <w:divBdr>
                <w:top w:val="none" w:sz="0" w:space="0" w:color="auto"/>
                <w:left w:val="none" w:sz="0" w:space="0" w:color="auto"/>
                <w:bottom w:val="none" w:sz="0" w:space="0" w:color="auto"/>
                <w:right w:val="none" w:sz="0" w:space="0" w:color="auto"/>
              </w:divBdr>
              <w:divsChild>
                <w:div w:id="631398180">
                  <w:marLeft w:val="0"/>
                  <w:marRight w:val="0"/>
                  <w:marTop w:val="0"/>
                  <w:marBottom w:val="0"/>
                  <w:divBdr>
                    <w:top w:val="none" w:sz="0" w:space="0" w:color="auto"/>
                    <w:left w:val="none" w:sz="0" w:space="0" w:color="auto"/>
                    <w:bottom w:val="none" w:sz="0" w:space="0" w:color="auto"/>
                    <w:right w:val="none" w:sz="0" w:space="0" w:color="auto"/>
                  </w:divBdr>
                  <w:divsChild>
                    <w:div w:id="1075511604">
                      <w:marLeft w:val="0"/>
                      <w:marRight w:val="0"/>
                      <w:marTop w:val="0"/>
                      <w:marBottom w:val="0"/>
                      <w:divBdr>
                        <w:top w:val="none" w:sz="0" w:space="0" w:color="auto"/>
                        <w:left w:val="none" w:sz="0" w:space="0" w:color="auto"/>
                        <w:bottom w:val="none" w:sz="0" w:space="0" w:color="auto"/>
                        <w:right w:val="none" w:sz="0" w:space="0" w:color="auto"/>
                      </w:divBdr>
                      <w:divsChild>
                        <w:div w:id="11162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3955">
                  <w:marLeft w:val="0"/>
                  <w:marRight w:val="0"/>
                  <w:marTop w:val="0"/>
                  <w:marBottom w:val="0"/>
                  <w:divBdr>
                    <w:top w:val="none" w:sz="0" w:space="0" w:color="auto"/>
                    <w:left w:val="none" w:sz="0" w:space="0" w:color="auto"/>
                    <w:bottom w:val="none" w:sz="0" w:space="0" w:color="auto"/>
                    <w:right w:val="none" w:sz="0" w:space="0" w:color="auto"/>
                  </w:divBdr>
                  <w:divsChild>
                    <w:div w:id="404424190">
                      <w:marLeft w:val="0"/>
                      <w:marRight w:val="0"/>
                      <w:marTop w:val="0"/>
                      <w:marBottom w:val="0"/>
                      <w:divBdr>
                        <w:top w:val="none" w:sz="0" w:space="0" w:color="auto"/>
                        <w:left w:val="none" w:sz="0" w:space="0" w:color="auto"/>
                        <w:bottom w:val="none" w:sz="0" w:space="0" w:color="auto"/>
                        <w:right w:val="none" w:sz="0" w:space="0" w:color="auto"/>
                      </w:divBdr>
                      <w:divsChild>
                        <w:div w:id="26492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49813">
                  <w:marLeft w:val="0"/>
                  <w:marRight w:val="0"/>
                  <w:marTop w:val="0"/>
                  <w:marBottom w:val="0"/>
                  <w:divBdr>
                    <w:top w:val="none" w:sz="0" w:space="0" w:color="auto"/>
                    <w:left w:val="none" w:sz="0" w:space="0" w:color="auto"/>
                    <w:bottom w:val="none" w:sz="0" w:space="0" w:color="auto"/>
                    <w:right w:val="none" w:sz="0" w:space="0" w:color="auto"/>
                  </w:divBdr>
                  <w:divsChild>
                    <w:div w:id="351536235">
                      <w:marLeft w:val="0"/>
                      <w:marRight w:val="0"/>
                      <w:marTop w:val="0"/>
                      <w:marBottom w:val="0"/>
                      <w:divBdr>
                        <w:top w:val="none" w:sz="0" w:space="0" w:color="auto"/>
                        <w:left w:val="none" w:sz="0" w:space="0" w:color="auto"/>
                        <w:bottom w:val="none" w:sz="0" w:space="0" w:color="auto"/>
                        <w:right w:val="none" w:sz="0" w:space="0" w:color="auto"/>
                      </w:divBdr>
                      <w:divsChild>
                        <w:div w:id="195817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3227</Words>
  <Characters>17749</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6</cp:revision>
  <dcterms:created xsi:type="dcterms:W3CDTF">2012-01-05T16:18:00Z</dcterms:created>
  <dcterms:modified xsi:type="dcterms:W3CDTF">2014-04-23T12:19:00Z</dcterms:modified>
</cp:coreProperties>
</file>