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765" w:rsidRPr="00181765" w:rsidRDefault="00181765" w:rsidP="00181765">
      <w:pPr>
        <w:spacing w:before="100" w:beforeAutospacing="1" w:after="100" w:afterAutospacing="1" w:line="240" w:lineRule="auto"/>
        <w:rPr>
          <w:rFonts w:ascii="Times New Roman" w:eastAsia="Times New Roman" w:hAnsi="Times New Roman" w:cs="Times New Roman"/>
          <w:sz w:val="24"/>
          <w:szCs w:val="24"/>
          <w:lang w:eastAsia="es-AR"/>
        </w:rPr>
      </w:pPr>
      <w:bookmarkStart w:id="0" w:name="_GoBack"/>
      <w:bookmarkEnd w:id="0"/>
      <w:r w:rsidRPr="00181765">
        <w:rPr>
          <w:rFonts w:ascii="Times New Roman" w:eastAsia="Times New Roman" w:hAnsi="Times New Roman" w:cs="Times New Roman"/>
          <w:sz w:val="24"/>
          <w:szCs w:val="24"/>
          <w:lang w:eastAsia="es-AR"/>
        </w:rPr>
        <w:t>Cámara Nacional de Apelaciones en lo Civil, sala J</w:t>
      </w:r>
    </w:p>
    <w:p w:rsidR="00181765" w:rsidRPr="00181765" w:rsidRDefault="00181765" w:rsidP="00181765">
      <w:pPr>
        <w:spacing w:after="0" w:line="240" w:lineRule="auto"/>
        <w:rPr>
          <w:rFonts w:ascii="Times New Roman" w:eastAsia="Times New Roman" w:hAnsi="Times New Roman" w:cs="Times New Roman"/>
          <w:sz w:val="24"/>
          <w:szCs w:val="24"/>
          <w:lang w:eastAsia="es-AR"/>
        </w:rPr>
      </w:pPr>
      <w:proofErr w:type="spellStart"/>
      <w:r w:rsidRPr="00181765">
        <w:rPr>
          <w:rFonts w:ascii="Times New Roman" w:eastAsia="Times New Roman" w:hAnsi="Times New Roman" w:cs="Times New Roman"/>
          <w:sz w:val="24"/>
          <w:szCs w:val="24"/>
          <w:lang w:eastAsia="es-AR"/>
        </w:rPr>
        <w:t>Russo</w:t>
      </w:r>
      <w:proofErr w:type="spellEnd"/>
      <w:r w:rsidRPr="00181765">
        <w:rPr>
          <w:rFonts w:ascii="Times New Roman" w:eastAsia="Times New Roman" w:hAnsi="Times New Roman" w:cs="Times New Roman"/>
          <w:sz w:val="24"/>
          <w:szCs w:val="24"/>
          <w:lang w:eastAsia="es-AR"/>
        </w:rPr>
        <w:t xml:space="preserve">, Jorge Luis c. Vigueras Ros, Amanda • 13/08/2010  </w:t>
      </w:r>
    </w:p>
    <w:p w:rsidR="00181765" w:rsidRPr="00181765" w:rsidRDefault="00181765" w:rsidP="00181765">
      <w:pPr>
        <w:spacing w:after="240" w:line="240" w:lineRule="auto"/>
        <w:rPr>
          <w:rFonts w:ascii="Times New Roman" w:eastAsia="Times New Roman" w:hAnsi="Times New Roman" w:cs="Times New Roman"/>
          <w:sz w:val="24"/>
          <w:szCs w:val="24"/>
          <w:lang w:eastAsia="es-AR"/>
        </w:rPr>
      </w:pPr>
    </w:p>
    <w:p w:rsidR="00181765" w:rsidRPr="00181765" w:rsidRDefault="00181765" w:rsidP="00181765">
      <w:pPr>
        <w:spacing w:before="100" w:beforeAutospacing="1" w:after="100" w:afterAutospacing="1" w:line="240" w:lineRule="auto"/>
        <w:rPr>
          <w:rFonts w:ascii="Times New Roman" w:eastAsia="Times New Roman" w:hAnsi="Times New Roman" w:cs="Times New Roman"/>
          <w:sz w:val="24"/>
          <w:szCs w:val="24"/>
          <w:lang w:eastAsia="es-AR"/>
        </w:rPr>
      </w:pPr>
      <w:r w:rsidRPr="00181765">
        <w:rPr>
          <w:rFonts w:ascii="Times New Roman" w:eastAsia="Times New Roman" w:hAnsi="Times New Roman" w:cs="Times New Roman"/>
          <w:sz w:val="24"/>
          <w:szCs w:val="24"/>
          <w:lang w:eastAsia="es-AR"/>
        </w:rPr>
        <w:t>2ª Instancia. — Buenos Aires, agosto 13 de 2010.</w:t>
      </w:r>
    </w:p>
    <w:p w:rsidR="00181765" w:rsidRPr="00181765" w:rsidRDefault="00181765" w:rsidP="00181765">
      <w:pPr>
        <w:spacing w:before="100" w:beforeAutospacing="1" w:after="100" w:afterAutospacing="1" w:line="240" w:lineRule="auto"/>
        <w:rPr>
          <w:rFonts w:ascii="Times New Roman" w:eastAsia="Times New Roman" w:hAnsi="Times New Roman" w:cs="Times New Roman"/>
          <w:sz w:val="24"/>
          <w:szCs w:val="24"/>
          <w:lang w:eastAsia="es-AR"/>
        </w:rPr>
      </w:pPr>
      <w:r w:rsidRPr="00181765">
        <w:rPr>
          <w:rFonts w:ascii="Times New Roman" w:eastAsia="Times New Roman" w:hAnsi="Times New Roman" w:cs="Times New Roman"/>
          <w:sz w:val="24"/>
          <w:szCs w:val="24"/>
          <w:lang w:eastAsia="es-AR"/>
        </w:rPr>
        <w:t xml:space="preserve">La doctora Marta del Rosario </w:t>
      </w:r>
      <w:proofErr w:type="spellStart"/>
      <w:r w:rsidRPr="00181765">
        <w:rPr>
          <w:rFonts w:ascii="Times New Roman" w:eastAsia="Times New Roman" w:hAnsi="Times New Roman" w:cs="Times New Roman"/>
          <w:sz w:val="24"/>
          <w:szCs w:val="24"/>
          <w:lang w:eastAsia="es-AR"/>
        </w:rPr>
        <w:t>Mattera</w:t>
      </w:r>
      <w:proofErr w:type="spellEnd"/>
      <w:r w:rsidRPr="00181765">
        <w:rPr>
          <w:rFonts w:ascii="Times New Roman" w:eastAsia="Times New Roman" w:hAnsi="Times New Roman" w:cs="Times New Roman"/>
          <w:sz w:val="24"/>
          <w:szCs w:val="24"/>
          <w:lang w:eastAsia="es-AR"/>
        </w:rPr>
        <w:t xml:space="preserve"> dijo:</w:t>
      </w:r>
    </w:p>
    <w:p w:rsidR="00181765" w:rsidRPr="00181765" w:rsidRDefault="00181765" w:rsidP="00181765">
      <w:pPr>
        <w:spacing w:before="100" w:beforeAutospacing="1" w:after="100" w:afterAutospacing="1" w:line="240" w:lineRule="auto"/>
        <w:rPr>
          <w:rFonts w:ascii="Times New Roman" w:eastAsia="Times New Roman" w:hAnsi="Times New Roman" w:cs="Times New Roman"/>
          <w:sz w:val="24"/>
          <w:szCs w:val="24"/>
          <w:lang w:eastAsia="es-AR"/>
        </w:rPr>
      </w:pPr>
      <w:r w:rsidRPr="00181765">
        <w:rPr>
          <w:rFonts w:ascii="Times New Roman" w:eastAsia="Times New Roman" w:hAnsi="Times New Roman" w:cs="Times New Roman"/>
          <w:sz w:val="24"/>
          <w:szCs w:val="24"/>
          <w:lang w:eastAsia="es-AR"/>
        </w:rPr>
        <w:t xml:space="preserve">I.- Vienen las actuaciones a conocimiento de esta Alzada con imposición de las costas por su orden en el decisorio de fs. 92/93, que fuera fundado por la </w:t>
      </w:r>
      <w:proofErr w:type="spellStart"/>
      <w:r w:rsidRPr="00181765">
        <w:rPr>
          <w:rFonts w:ascii="Times New Roman" w:eastAsia="Times New Roman" w:hAnsi="Times New Roman" w:cs="Times New Roman"/>
          <w:sz w:val="24"/>
          <w:szCs w:val="24"/>
          <w:lang w:eastAsia="es-AR"/>
        </w:rPr>
        <w:t>sentenciante</w:t>
      </w:r>
      <w:proofErr w:type="spellEnd"/>
      <w:r w:rsidRPr="00181765">
        <w:rPr>
          <w:rFonts w:ascii="Times New Roman" w:eastAsia="Times New Roman" w:hAnsi="Times New Roman" w:cs="Times New Roman"/>
          <w:sz w:val="24"/>
          <w:szCs w:val="24"/>
          <w:lang w:eastAsia="es-AR"/>
        </w:rPr>
        <w:t xml:space="preserve"> en el allanamiento articulado por la demandada y las particularidades del caso.</w:t>
      </w:r>
    </w:p>
    <w:p w:rsidR="00181765" w:rsidRPr="00181765" w:rsidRDefault="00181765" w:rsidP="00181765">
      <w:pPr>
        <w:spacing w:before="100" w:beforeAutospacing="1" w:after="100" w:afterAutospacing="1" w:line="240" w:lineRule="auto"/>
        <w:rPr>
          <w:rFonts w:ascii="Times New Roman" w:eastAsia="Times New Roman" w:hAnsi="Times New Roman" w:cs="Times New Roman"/>
          <w:sz w:val="24"/>
          <w:szCs w:val="24"/>
          <w:lang w:eastAsia="es-AR"/>
        </w:rPr>
      </w:pPr>
      <w:r w:rsidRPr="00181765">
        <w:rPr>
          <w:rFonts w:ascii="Times New Roman" w:eastAsia="Times New Roman" w:hAnsi="Times New Roman" w:cs="Times New Roman"/>
          <w:sz w:val="24"/>
          <w:szCs w:val="24"/>
          <w:lang w:eastAsia="es-AR"/>
        </w:rPr>
        <w:t>En el escrito obrante a fs. 116/119 el recurrente argumenta que debió haberse aplicado el principio general del art. 68 del Código Procesal, por cuanto no existe ningún elemento que conduzca a apartarse objetivamente de ese principio general.</w:t>
      </w:r>
    </w:p>
    <w:p w:rsidR="00181765" w:rsidRPr="00181765" w:rsidRDefault="00181765" w:rsidP="00181765">
      <w:pPr>
        <w:spacing w:before="100" w:beforeAutospacing="1" w:after="100" w:afterAutospacing="1" w:line="240" w:lineRule="auto"/>
        <w:rPr>
          <w:rFonts w:ascii="Times New Roman" w:eastAsia="Times New Roman" w:hAnsi="Times New Roman" w:cs="Times New Roman"/>
          <w:sz w:val="24"/>
          <w:szCs w:val="24"/>
          <w:lang w:eastAsia="es-AR"/>
        </w:rPr>
      </w:pPr>
      <w:r w:rsidRPr="00181765">
        <w:rPr>
          <w:rFonts w:ascii="Times New Roman" w:eastAsia="Times New Roman" w:hAnsi="Times New Roman" w:cs="Times New Roman"/>
          <w:sz w:val="24"/>
          <w:szCs w:val="24"/>
          <w:lang w:eastAsia="es-AR"/>
        </w:rPr>
        <w:t xml:space="preserve">Indica que el aparente allanamiento ha sido un acto obstructivo, y que ello </w:t>
      </w:r>
      <w:proofErr w:type="gramStart"/>
      <w:r w:rsidRPr="00181765">
        <w:rPr>
          <w:rFonts w:ascii="Times New Roman" w:eastAsia="Times New Roman" w:hAnsi="Times New Roman" w:cs="Times New Roman"/>
          <w:sz w:val="24"/>
          <w:szCs w:val="24"/>
          <w:lang w:eastAsia="es-AR"/>
        </w:rPr>
        <w:t>dan</w:t>
      </w:r>
      <w:proofErr w:type="gramEnd"/>
      <w:r w:rsidRPr="00181765">
        <w:rPr>
          <w:rFonts w:ascii="Times New Roman" w:eastAsia="Times New Roman" w:hAnsi="Times New Roman" w:cs="Times New Roman"/>
          <w:sz w:val="24"/>
          <w:szCs w:val="24"/>
          <w:lang w:eastAsia="es-AR"/>
        </w:rPr>
        <w:t xml:space="preserve"> cuenta los distintos argumentos y recursos improcedentes que ha planteado la accionada hasta la fecha, sin haber cumplido con su obligación de concluir la transferencia.</w:t>
      </w:r>
    </w:p>
    <w:p w:rsidR="00181765" w:rsidRPr="00181765" w:rsidRDefault="00181765" w:rsidP="00181765">
      <w:pPr>
        <w:spacing w:before="100" w:beforeAutospacing="1" w:after="100" w:afterAutospacing="1" w:line="240" w:lineRule="auto"/>
        <w:rPr>
          <w:rFonts w:ascii="Times New Roman" w:eastAsia="Times New Roman" w:hAnsi="Times New Roman" w:cs="Times New Roman"/>
          <w:sz w:val="24"/>
          <w:szCs w:val="24"/>
          <w:lang w:eastAsia="es-AR"/>
        </w:rPr>
      </w:pPr>
      <w:r w:rsidRPr="00181765">
        <w:rPr>
          <w:rFonts w:ascii="Times New Roman" w:eastAsia="Times New Roman" w:hAnsi="Times New Roman" w:cs="Times New Roman"/>
          <w:sz w:val="24"/>
          <w:szCs w:val="24"/>
          <w:lang w:eastAsia="es-AR"/>
        </w:rPr>
        <w:t>Corrido el traslado pertinente, a fs. 123 obra la contestación de agravios. A fs. 130 se dicta el llamado de autos a sentencia, providencia que se encuentra firme.</w:t>
      </w:r>
    </w:p>
    <w:p w:rsidR="00181765" w:rsidRPr="00181765" w:rsidRDefault="00181765" w:rsidP="00181765">
      <w:pPr>
        <w:spacing w:before="100" w:beforeAutospacing="1" w:after="100" w:afterAutospacing="1" w:line="240" w:lineRule="auto"/>
        <w:rPr>
          <w:rFonts w:ascii="Times New Roman" w:eastAsia="Times New Roman" w:hAnsi="Times New Roman" w:cs="Times New Roman"/>
          <w:sz w:val="24"/>
          <w:szCs w:val="24"/>
          <w:lang w:eastAsia="es-AR"/>
        </w:rPr>
      </w:pPr>
      <w:r w:rsidRPr="00181765">
        <w:rPr>
          <w:rFonts w:ascii="Times New Roman" w:eastAsia="Times New Roman" w:hAnsi="Times New Roman" w:cs="Times New Roman"/>
          <w:sz w:val="24"/>
          <w:szCs w:val="24"/>
          <w:lang w:eastAsia="es-AR"/>
        </w:rPr>
        <w:t xml:space="preserve">II.- No caben dudas que la pieza recursiva no resulta suficiente para conmover lo decidido por la </w:t>
      </w:r>
      <w:proofErr w:type="spellStart"/>
      <w:r w:rsidRPr="00181765">
        <w:rPr>
          <w:rFonts w:ascii="Times New Roman" w:eastAsia="Times New Roman" w:hAnsi="Times New Roman" w:cs="Times New Roman"/>
          <w:sz w:val="24"/>
          <w:szCs w:val="24"/>
          <w:lang w:eastAsia="es-AR"/>
        </w:rPr>
        <w:t>sentenciante</w:t>
      </w:r>
      <w:proofErr w:type="spellEnd"/>
      <w:r w:rsidRPr="00181765">
        <w:rPr>
          <w:rFonts w:ascii="Times New Roman" w:eastAsia="Times New Roman" w:hAnsi="Times New Roman" w:cs="Times New Roman"/>
          <w:sz w:val="24"/>
          <w:szCs w:val="24"/>
          <w:lang w:eastAsia="es-AR"/>
        </w:rPr>
        <w:t xml:space="preserve"> de grado con expresa invocación del art. 70 del Código Procesal, que expresamente dispone que no se impondrán costas al vencido cuando hubiese reconocido oportunamente como fundadas las pretensiones de su adversario allanándose a satisfacerlas, a menos que hubiere incurrido en mora o que por su culpa hubiere dado lugar a la reclamación.</w:t>
      </w:r>
    </w:p>
    <w:p w:rsidR="00181765" w:rsidRPr="00181765" w:rsidRDefault="00181765" w:rsidP="00181765">
      <w:pPr>
        <w:spacing w:before="100" w:beforeAutospacing="1" w:after="100" w:afterAutospacing="1" w:line="240" w:lineRule="auto"/>
        <w:rPr>
          <w:rFonts w:ascii="Times New Roman" w:eastAsia="Times New Roman" w:hAnsi="Times New Roman" w:cs="Times New Roman"/>
          <w:sz w:val="24"/>
          <w:szCs w:val="24"/>
          <w:lang w:eastAsia="es-AR"/>
        </w:rPr>
      </w:pPr>
      <w:r w:rsidRPr="00181765">
        <w:rPr>
          <w:rFonts w:ascii="Times New Roman" w:eastAsia="Times New Roman" w:hAnsi="Times New Roman" w:cs="Times New Roman"/>
          <w:sz w:val="24"/>
          <w:szCs w:val="24"/>
          <w:lang w:eastAsia="es-AR"/>
        </w:rPr>
        <w:t>El apelante pretende que la demandada originaria, Sra. Vigueras Ros, no tomó conocimiento de su obligación con la notificación de la demanda, sino que fue citada por su abogado, llamada en reiteradas oportunidades y finalmente convocada a una audiencia de mediación cuya notificación impidió por existir una diferencia en el nombre de pila ("Armando" en lugar de "Amanda").</w:t>
      </w:r>
    </w:p>
    <w:p w:rsidR="00181765" w:rsidRPr="00181765" w:rsidRDefault="00181765" w:rsidP="00181765">
      <w:pPr>
        <w:spacing w:before="100" w:beforeAutospacing="1" w:after="100" w:afterAutospacing="1" w:line="240" w:lineRule="auto"/>
        <w:rPr>
          <w:rFonts w:ascii="Times New Roman" w:eastAsia="Times New Roman" w:hAnsi="Times New Roman" w:cs="Times New Roman"/>
          <w:sz w:val="24"/>
          <w:szCs w:val="24"/>
          <w:lang w:eastAsia="es-AR"/>
        </w:rPr>
      </w:pPr>
      <w:r w:rsidRPr="00181765">
        <w:rPr>
          <w:rFonts w:ascii="Times New Roman" w:eastAsia="Times New Roman" w:hAnsi="Times New Roman" w:cs="Times New Roman"/>
          <w:sz w:val="24"/>
          <w:szCs w:val="24"/>
          <w:lang w:eastAsia="es-AR"/>
        </w:rPr>
        <w:t>Tales los argumentos volcados a fs. 50 al contestar el traslado el allanamiento, textualmente reproducidos en la pieza en análisis, a lo que añade ahora el incumplimiento de la sentencia que, en lo sustancial, ha sido consentida por ambas partes</w:t>
      </w:r>
    </w:p>
    <w:p w:rsidR="00181765" w:rsidRPr="00181765" w:rsidRDefault="00181765" w:rsidP="00181765">
      <w:pPr>
        <w:spacing w:before="100" w:beforeAutospacing="1" w:after="100" w:afterAutospacing="1" w:line="240" w:lineRule="auto"/>
        <w:rPr>
          <w:rFonts w:ascii="Times New Roman" w:eastAsia="Times New Roman" w:hAnsi="Times New Roman" w:cs="Times New Roman"/>
          <w:sz w:val="24"/>
          <w:szCs w:val="24"/>
          <w:lang w:eastAsia="es-AR"/>
        </w:rPr>
      </w:pPr>
      <w:r w:rsidRPr="00181765">
        <w:rPr>
          <w:rFonts w:ascii="Times New Roman" w:eastAsia="Times New Roman" w:hAnsi="Times New Roman" w:cs="Times New Roman"/>
          <w:sz w:val="24"/>
          <w:szCs w:val="24"/>
          <w:lang w:eastAsia="es-AR"/>
        </w:rPr>
        <w:t xml:space="preserve">He de señalar que llama la atención que el accionante sólo haya demandado –y previamente citado y convocado a mediación- a la cónyuge supérstite de quien figuraba en el título de propiedad del automotor como propietario, Sr. Néstor Osvaldo </w:t>
      </w:r>
      <w:proofErr w:type="spellStart"/>
      <w:r w:rsidRPr="00181765">
        <w:rPr>
          <w:rFonts w:ascii="Times New Roman" w:eastAsia="Times New Roman" w:hAnsi="Times New Roman" w:cs="Times New Roman"/>
          <w:sz w:val="24"/>
          <w:szCs w:val="24"/>
          <w:lang w:eastAsia="es-AR"/>
        </w:rPr>
        <w:t>Bruschini</w:t>
      </w:r>
      <w:proofErr w:type="spellEnd"/>
      <w:r w:rsidRPr="00181765">
        <w:rPr>
          <w:rFonts w:ascii="Times New Roman" w:eastAsia="Times New Roman" w:hAnsi="Times New Roman" w:cs="Times New Roman"/>
          <w:sz w:val="24"/>
          <w:szCs w:val="24"/>
          <w:lang w:eastAsia="es-AR"/>
        </w:rPr>
        <w:t xml:space="preserve">, de quien sabía había fallecido, y no a su sucesión, tratándose de un bien registrable. </w:t>
      </w:r>
    </w:p>
    <w:p w:rsidR="00181765" w:rsidRPr="00181765" w:rsidRDefault="00181765" w:rsidP="00181765">
      <w:pPr>
        <w:spacing w:before="100" w:beforeAutospacing="1" w:after="100" w:afterAutospacing="1" w:line="240" w:lineRule="auto"/>
        <w:rPr>
          <w:rFonts w:ascii="Times New Roman" w:eastAsia="Times New Roman" w:hAnsi="Times New Roman" w:cs="Times New Roman"/>
          <w:sz w:val="24"/>
          <w:szCs w:val="24"/>
          <w:lang w:eastAsia="es-AR"/>
        </w:rPr>
      </w:pPr>
      <w:r w:rsidRPr="00181765">
        <w:rPr>
          <w:rFonts w:ascii="Times New Roman" w:eastAsia="Times New Roman" w:hAnsi="Times New Roman" w:cs="Times New Roman"/>
          <w:sz w:val="24"/>
          <w:szCs w:val="24"/>
          <w:lang w:eastAsia="es-AR"/>
        </w:rPr>
        <w:lastRenderedPageBreak/>
        <w:t>La Sra. Vigueras Ros, a su vez, plantea el allanamiento explicando que desconocía la situación hasta que recibió el traslado de la demanda, que su esposo había efectuado la denuncia de venta y entrega de posesión del vehículo al Sr. Castillo, quien lo adquiriera en el año 1997, y a su vez lo vendiera al actor, y que pasaron más de diez años sin que nadie le informara que la transferencia no se había concretado.</w:t>
      </w:r>
    </w:p>
    <w:p w:rsidR="00181765" w:rsidRPr="00181765" w:rsidRDefault="00181765" w:rsidP="00181765">
      <w:pPr>
        <w:spacing w:before="100" w:beforeAutospacing="1" w:after="100" w:afterAutospacing="1" w:line="240" w:lineRule="auto"/>
        <w:rPr>
          <w:rFonts w:ascii="Times New Roman" w:eastAsia="Times New Roman" w:hAnsi="Times New Roman" w:cs="Times New Roman"/>
          <w:sz w:val="24"/>
          <w:szCs w:val="24"/>
          <w:lang w:eastAsia="es-AR"/>
        </w:rPr>
      </w:pPr>
      <w:r w:rsidRPr="00181765">
        <w:rPr>
          <w:rFonts w:ascii="Times New Roman" w:eastAsia="Times New Roman" w:hAnsi="Times New Roman" w:cs="Times New Roman"/>
          <w:sz w:val="24"/>
          <w:szCs w:val="24"/>
          <w:lang w:eastAsia="es-AR"/>
        </w:rPr>
        <w:t>Con posterioridad a la celebración de sendas audiencias convocadas por el juzgado interviniente, se resolvió a fs. 60 requerir a la hasta entonces única demandada que manifestara si existían otros herederos y si había iniciado el juicio sucesorio de su cónyuge.</w:t>
      </w:r>
    </w:p>
    <w:p w:rsidR="00181765" w:rsidRPr="00181765" w:rsidRDefault="00181765" w:rsidP="00181765">
      <w:pPr>
        <w:spacing w:before="100" w:beforeAutospacing="1" w:after="100" w:afterAutospacing="1" w:line="240" w:lineRule="auto"/>
        <w:rPr>
          <w:rFonts w:ascii="Times New Roman" w:eastAsia="Times New Roman" w:hAnsi="Times New Roman" w:cs="Times New Roman"/>
          <w:sz w:val="24"/>
          <w:szCs w:val="24"/>
          <w:lang w:eastAsia="es-AR"/>
        </w:rPr>
      </w:pPr>
      <w:r w:rsidRPr="00181765">
        <w:rPr>
          <w:rFonts w:ascii="Times New Roman" w:eastAsia="Times New Roman" w:hAnsi="Times New Roman" w:cs="Times New Roman"/>
          <w:sz w:val="24"/>
          <w:szCs w:val="24"/>
          <w:lang w:eastAsia="es-AR"/>
        </w:rPr>
        <w:t>Recién con motivo de ello a fs. 63 la accionada informa que no se ha iniciado juicio sucesorio y que existen tres hijos del causante, e insiste en lo mismo que planteara con posterioridad a la sentencia, esto es, que su allanamiento fue a fin de que el Juzgado dispusiera el libramiento de un oficio para concretar la transferencia.</w:t>
      </w:r>
    </w:p>
    <w:p w:rsidR="00181765" w:rsidRPr="00181765" w:rsidRDefault="00181765" w:rsidP="00181765">
      <w:pPr>
        <w:spacing w:before="100" w:beforeAutospacing="1" w:after="100" w:afterAutospacing="1" w:line="240" w:lineRule="auto"/>
        <w:rPr>
          <w:rFonts w:ascii="Times New Roman" w:eastAsia="Times New Roman" w:hAnsi="Times New Roman" w:cs="Times New Roman"/>
          <w:sz w:val="24"/>
          <w:szCs w:val="24"/>
          <w:lang w:eastAsia="es-AR"/>
        </w:rPr>
      </w:pPr>
      <w:r w:rsidRPr="00181765">
        <w:rPr>
          <w:rFonts w:ascii="Times New Roman" w:eastAsia="Times New Roman" w:hAnsi="Times New Roman" w:cs="Times New Roman"/>
          <w:sz w:val="24"/>
          <w:szCs w:val="24"/>
          <w:lang w:eastAsia="es-AR"/>
        </w:rPr>
        <w:t xml:space="preserve">En virtud de esta manifestación, la magistrada interviniente dispuso a fs. 65 que por mediar un litisconsorcio necesario debía citarse a los otros herederos del titular </w:t>
      </w:r>
      <w:proofErr w:type="spellStart"/>
      <w:r w:rsidRPr="00181765">
        <w:rPr>
          <w:rFonts w:ascii="Times New Roman" w:eastAsia="Times New Roman" w:hAnsi="Times New Roman" w:cs="Times New Roman"/>
          <w:sz w:val="24"/>
          <w:szCs w:val="24"/>
          <w:lang w:eastAsia="es-AR"/>
        </w:rPr>
        <w:t>dominial</w:t>
      </w:r>
      <w:proofErr w:type="spellEnd"/>
      <w:r w:rsidRPr="00181765">
        <w:rPr>
          <w:rFonts w:ascii="Times New Roman" w:eastAsia="Times New Roman" w:hAnsi="Times New Roman" w:cs="Times New Roman"/>
          <w:sz w:val="24"/>
          <w:szCs w:val="24"/>
          <w:lang w:eastAsia="es-AR"/>
        </w:rPr>
        <w:t xml:space="preserve">. </w:t>
      </w:r>
    </w:p>
    <w:p w:rsidR="00181765" w:rsidRPr="00181765" w:rsidRDefault="00181765" w:rsidP="00181765">
      <w:pPr>
        <w:spacing w:before="100" w:beforeAutospacing="1" w:after="100" w:afterAutospacing="1" w:line="240" w:lineRule="auto"/>
        <w:rPr>
          <w:rFonts w:ascii="Times New Roman" w:eastAsia="Times New Roman" w:hAnsi="Times New Roman" w:cs="Times New Roman"/>
          <w:sz w:val="24"/>
          <w:szCs w:val="24"/>
          <w:lang w:eastAsia="es-AR"/>
        </w:rPr>
      </w:pPr>
      <w:r w:rsidRPr="00181765">
        <w:rPr>
          <w:rFonts w:ascii="Times New Roman" w:eastAsia="Times New Roman" w:hAnsi="Times New Roman" w:cs="Times New Roman"/>
          <w:sz w:val="24"/>
          <w:szCs w:val="24"/>
          <w:lang w:eastAsia="es-AR"/>
        </w:rPr>
        <w:t>A fs. 80 se presentan quienes dicen ser los restantes herederos prestando conformidad al libramiento del oficio pedido por las partes, quienes formalizan nueva presentación en los términos requeridos por el Tribunal a fs. 85.</w:t>
      </w:r>
    </w:p>
    <w:p w:rsidR="00181765" w:rsidRPr="00181765" w:rsidRDefault="00181765" w:rsidP="00181765">
      <w:pPr>
        <w:spacing w:before="100" w:beforeAutospacing="1" w:after="100" w:afterAutospacing="1" w:line="240" w:lineRule="auto"/>
        <w:rPr>
          <w:rFonts w:ascii="Times New Roman" w:eastAsia="Times New Roman" w:hAnsi="Times New Roman" w:cs="Times New Roman"/>
          <w:sz w:val="24"/>
          <w:szCs w:val="24"/>
          <w:lang w:eastAsia="es-AR"/>
        </w:rPr>
      </w:pPr>
      <w:r w:rsidRPr="00181765">
        <w:rPr>
          <w:rFonts w:ascii="Times New Roman" w:eastAsia="Times New Roman" w:hAnsi="Times New Roman" w:cs="Times New Roman"/>
          <w:sz w:val="24"/>
          <w:szCs w:val="24"/>
          <w:lang w:eastAsia="es-AR"/>
        </w:rPr>
        <w:t xml:space="preserve">Así las cosas se dicta la sentencia recurrida, condenando a la Sra. Vigueras Ros y a los herederos de Néstor Osvaldo </w:t>
      </w:r>
      <w:proofErr w:type="spellStart"/>
      <w:r w:rsidRPr="00181765">
        <w:rPr>
          <w:rFonts w:ascii="Times New Roman" w:eastAsia="Times New Roman" w:hAnsi="Times New Roman" w:cs="Times New Roman"/>
          <w:sz w:val="24"/>
          <w:szCs w:val="24"/>
          <w:lang w:eastAsia="es-AR"/>
        </w:rPr>
        <w:t>Bruschini</w:t>
      </w:r>
      <w:proofErr w:type="spellEnd"/>
      <w:r w:rsidRPr="00181765">
        <w:rPr>
          <w:rFonts w:ascii="Times New Roman" w:eastAsia="Times New Roman" w:hAnsi="Times New Roman" w:cs="Times New Roman"/>
          <w:sz w:val="24"/>
          <w:szCs w:val="24"/>
          <w:lang w:eastAsia="es-AR"/>
        </w:rPr>
        <w:t xml:space="preserve"> a efectuar las diligencias necesarias para efectivizar la transferencia del automotor en el plazo de veinte días, y consintiendo las partes tal decisión en cuanto al fondo de la cuestión. La accionada plantea aclaratoria a fs. 95 indicando los requisitos que </w:t>
      </w:r>
      <w:proofErr w:type="gramStart"/>
      <w:r w:rsidRPr="00181765">
        <w:rPr>
          <w:rFonts w:ascii="Times New Roman" w:eastAsia="Times New Roman" w:hAnsi="Times New Roman" w:cs="Times New Roman"/>
          <w:sz w:val="24"/>
          <w:szCs w:val="24"/>
          <w:lang w:eastAsia="es-AR"/>
        </w:rPr>
        <w:t>debe</w:t>
      </w:r>
      <w:proofErr w:type="gramEnd"/>
      <w:r w:rsidRPr="00181765">
        <w:rPr>
          <w:rFonts w:ascii="Times New Roman" w:eastAsia="Times New Roman" w:hAnsi="Times New Roman" w:cs="Times New Roman"/>
          <w:sz w:val="24"/>
          <w:szCs w:val="24"/>
          <w:lang w:eastAsia="es-AR"/>
        </w:rPr>
        <w:t xml:space="preserve"> contener el oficio, y el actor apela por las costas.</w:t>
      </w:r>
    </w:p>
    <w:p w:rsidR="00181765" w:rsidRPr="00181765" w:rsidRDefault="00181765" w:rsidP="00181765">
      <w:pPr>
        <w:spacing w:before="100" w:beforeAutospacing="1" w:after="100" w:afterAutospacing="1" w:line="240" w:lineRule="auto"/>
        <w:rPr>
          <w:rFonts w:ascii="Times New Roman" w:eastAsia="Times New Roman" w:hAnsi="Times New Roman" w:cs="Times New Roman"/>
          <w:sz w:val="24"/>
          <w:szCs w:val="24"/>
          <w:lang w:eastAsia="es-AR"/>
        </w:rPr>
      </w:pPr>
      <w:r w:rsidRPr="00181765">
        <w:rPr>
          <w:rFonts w:ascii="Times New Roman" w:eastAsia="Times New Roman" w:hAnsi="Times New Roman" w:cs="Times New Roman"/>
          <w:sz w:val="24"/>
          <w:szCs w:val="24"/>
          <w:lang w:eastAsia="es-AR"/>
        </w:rPr>
        <w:t xml:space="preserve">III.- De lo hasta aquí expuesto se desprende que ninguna de las citaciones o notificaciones que dice haber cursado el accionante antes de promover la demanda contra la Sra. Vigueras Ros tuvieron virtualidad para constituirla en mora, por cuanto lo que se le requería -concurrir al Registro para concluir el trámite de la transferencia- era una conducta que ni siquiera hubiera podido resolver la cuestión, por cuanto ella no era titular </w:t>
      </w:r>
      <w:proofErr w:type="spellStart"/>
      <w:r w:rsidRPr="00181765">
        <w:rPr>
          <w:rFonts w:ascii="Times New Roman" w:eastAsia="Times New Roman" w:hAnsi="Times New Roman" w:cs="Times New Roman"/>
          <w:sz w:val="24"/>
          <w:szCs w:val="24"/>
          <w:lang w:eastAsia="es-AR"/>
        </w:rPr>
        <w:t>dominial</w:t>
      </w:r>
      <w:proofErr w:type="spellEnd"/>
      <w:r w:rsidRPr="00181765">
        <w:rPr>
          <w:rFonts w:ascii="Times New Roman" w:eastAsia="Times New Roman" w:hAnsi="Times New Roman" w:cs="Times New Roman"/>
          <w:sz w:val="24"/>
          <w:szCs w:val="24"/>
          <w:lang w:eastAsia="es-AR"/>
        </w:rPr>
        <w:t>, y como cónyuge -de haber vivido aún su esposo- sólo hubiera podido brindar el asentimiento previsto en el art. 1277 del Código Civil.</w:t>
      </w:r>
    </w:p>
    <w:p w:rsidR="00181765" w:rsidRPr="00181765" w:rsidRDefault="00181765" w:rsidP="00181765">
      <w:pPr>
        <w:spacing w:before="100" w:beforeAutospacing="1" w:after="100" w:afterAutospacing="1" w:line="240" w:lineRule="auto"/>
        <w:rPr>
          <w:rFonts w:ascii="Times New Roman" w:eastAsia="Times New Roman" w:hAnsi="Times New Roman" w:cs="Times New Roman"/>
          <w:sz w:val="24"/>
          <w:szCs w:val="24"/>
          <w:lang w:eastAsia="es-AR"/>
        </w:rPr>
      </w:pPr>
      <w:r w:rsidRPr="00181765">
        <w:rPr>
          <w:rFonts w:ascii="Times New Roman" w:eastAsia="Times New Roman" w:hAnsi="Times New Roman" w:cs="Times New Roman"/>
          <w:sz w:val="24"/>
          <w:szCs w:val="24"/>
          <w:lang w:eastAsia="es-AR"/>
        </w:rPr>
        <w:t xml:space="preserve">Con relación a los hijos del causante, ni siquiera existió intimación ni demanda, y en cuanto </w:t>
      </w:r>
      <w:proofErr w:type="gramStart"/>
      <w:r w:rsidRPr="00181765">
        <w:rPr>
          <w:rFonts w:ascii="Times New Roman" w:eastAsia="Times New Roman" w:hAnsi="Times New Roman" w:cs="Times New Roman"/>
          <w:sz w:val="24"/>
          <w:szCs w:val="24"/>
          <w:lang w:eastAsia="es-AR"/>
        </w:rPr>
        <w:t>se</w:t>
      </w:r>
      <w:proofErr w:type="gramEnd"/>
      <w:r w:rsidRPr="00181765">
        <w:rPr>
          <w:rFonts w:ascii="Times New Roman" w:eastAsia="Times New Roman" w:hAnsi="Times New Roman" w:cs="Times New Roman"/>
          <w:sz w:val="24"/>
          <w:szCs w:val="24"/>
          <w:lang w:eastAsia="es-AR"/>
        </w:rPr>
        <w:t xml:space="preserve"> supo de su existencia -merced a la actividad oficiosa del Juzgado, por cierto- se presentaron tratando de colaborar en resolver la cuestión.</w:t>
      </w:r>
    </w:p>
    <w:p w:rsidR="00181765" w:rsidRPr="00181765" w:rsidRDefault="00181765" w:rsidP="00181765">
      <w:pPr>
        <w:spacing w:before="100" w:beforeAutospacing="1" w:after="100" w:afterAutospacing="1" w:line="240" w:lineRule="auto"/>
        <w:rPr>
          <w:rFonts w:ascii="Times New Roman" w:eastAsia="Times New Roman" w:hAnsi="Times New Roman" w:cs="Times New Roman"/>
          <w:sz w:val="24"/>
          <w:szCs w:val="24"/>
          <w:lang w:eastAsia="es-AR"/>
        </w:rPr>
      </w:pPr>
      <w:r w:rsidRPr="00181765">
        <w:rPr>
          <w:rFonts w:ascii="Times New Roman" w:eastAsia="Times New Roman" w:hAnsi="Times New Roman" w:cs="Times New Roman"/>
          <w:sz w:val="24"/>
          <w:szCs w:val="24"/>
          <w:lang w:eastAsia="es-AR"/>
        </w:rPr>
        <w:t>En cuanto a la conducta posterior a la sentencia, fue coherente con lo que se venía planteando en los sucesivos escritos, y revela que aparentemente ambas partes creyeron que bastaba con el libramiento de un oficio al Registro de la Propiedad Automotor para zanjar la cuestión, tal lo manifestado incluso por la actora en su demanda (fs. 22).</w:t>
      </w:r>
    </w:p>
    <w:p w:rsidR="00181765" w:rsidRPr="00181765" w:rsidRDefault="00181765" w:rsidP="00181765">
      <w:pPr>
        <w:spacing w:before="100" w:beforeAutospacing="1" w:after="100" w:afterAutospacing="1" w:line="240" w:lineRule="auto"/>
        <w:rPr>
          <w:rFonts w:ascii="Times New Roman" w:eastAsia="Times New Roman" w:hAnsi="Times New Roman" w:cs="Times New Roman"/>
          <w:sz w:val="24"/>
          <w:szCs w:val="24"/>
          <w:lang w:eastAsia="es-AR"/>
        </w:rPr>
      </w:pPr>
      <w:r w:rsidRPr="00181765">
        <w:rPr>
          <w:rFonts w:ascii="Times New Roman" w:eastAsia="Times New Roman" w:hAnsi="Times New Roman" w:cs="Times New Roman"/>
          <w:sz w:val="24"/>
          <w:szCs w:val="24"/>
          <w:lang w:eastAsia="es-AR"/>
        </w:rPr>
        <w:lastRenderedPageBreak/>
        <w:t>Aun cuando quien se allanó no cumpliera posteriormente con la sentencia, ello no tendría incidencia en cuanto a las costas del proceso hasta el dictado de ese pronunciamiento, cuestión de resulta obvia.</w:t>
      </w:r>
    </w:p>
    <w:p w:rsidR="00181765" w:rsidRPr="00181765" w:rsidRDefault="00181765" w:rsidP="00181765">
      <w:pPr>
        <w:spacing w:before="100" w:beforeAutospacing="1" w:after="100" w:afterAutospacing="1" w:line="240" w:lineRule="auto"/>
        <w:rPr>
          <w:rFonts w:ascii="Times New Roman" w:eastAsia="Times New Roman" w:hAnsi="Times New Roman" w:cs="Times New Roman"/>
          <w:sz w:val="24"/>
          <w:szCs w:val="24"/>
          <w:lang w:eastAsia="es-AR"/>
        </w:rPr>
      </w:pPr>
      <w:r w:rsidRPr="00181765">
        <w:rPr>
          <w:rFonts w:ascii="Times New Roman" w:eastAsia="Times New Roman" w:hAnsi="Times New Roman" w:cs="Times New Roman"/>
          <w:sz w:val="24"/>
          <w:szCs w:val="24"/>
          <w:lang w:eastAsia="es-AR"/>
        </w:rPr>
        <w:t>De modo pues que no encuentro razón valedera para considerar que en este pleito concurrieron motivos para apartarse de la norma contenida en el art. 70 del Código Procesal, y en este aspecto propiciaré la confirmación del decisorio recurrido.</w:t>
      </w:r>
    </w:p>
    <w:p w:rsidR="00181765" w:rsidRPr="00181765" w:rsidRDefault="00181765" w:rsidP="00181765">
      <w:pPr>
        <w:spacing w:before="100" w:beforeAutospacing="1" w:after="100" w:afterAutospacing="1" w:line="240" w:lineRule="auto"/>
        <w:rPr>
          <w:rFonts w:ascii="Times New Roman" w:eastAsia="Times New Roman" w:hAnsi="Times New Roman" w:cs="Times New Roman"/>
          <w:sz w:val="24"/>
          <w:szCs w:val="24"/>
          <w:lang w:eastAsia="es-AR"/>
        </w:rPr>
      </w:pPr>
      <w:r w:rsidRPr="00181765">
        <w:rPr>
          <w:rFonts w:ascii="Times New Roman" w:eastAsia="Times New Roman" w:hAnsi="Times New Roman" w:cs="Times New Roman"/>
          <w:sz w:val="24"/>
          <w:szCs w:val="24"/>
          <w:lang w:eastAsia="es-AR"/>
        </w:rPr>
        <w:t>IV.- Hasta aquí lo referente a la materia que ha venido a conocimiento del Tribunal, por lo que lo que se consignará a continuación sólo tiene por finalidad tratar de aclarar aspectos relativos a la cuestión de fondo, que no han sido materia de agravio por ninguna de las partes, más aun, no han sido motivo de tratamiento a lo largo del pleito, y revisten gravedad suficiente como para merecer una observación de parte de la suscripta.</w:t>
      </w:r>
    </w:p>
    <w:p w:rsidR="00181765" w:rsidRPr="00181765" w:rsidRDefault="00181765" w:rsidP="00181765">
      <w:pPr>
        <w:spacing w:before="100" w:beforeAutospacing="1" w:after="100" w:afterAutospacing="1" w:line="240" w:lineRule="auto"/>
        <w:rPr>
          <w:rFonts w:ascii="Times New Roman" w:eastAsia="Times New Roman" w:hAnsi="Times New Roman" w:cs="Times New Roman"/>
          <w:sz w:val="24"/>
          <w:szCs w:val="24"/>
          <w:lang w:eastAsia="es-AR"/>
        </w:rPr>
      </w:pPr>
      <w:r w:rsidRPr="00181765">
        <w:rPr>
          <w:rFonts w:ascii="Times New Roman" w:eastAsia="Times New Roman" w:hAnsi="Times New Roman" w:cs="Times New Roman"/>
          <w:sz w:val="24"/>
          <w:szCs w:val="24"/>
          <w:lang w:eastAsia="es-AR"/>
        </w:rPr>
        <w:t>Es evidente que todas las partes han manifestado su voluntad de que el automotor quede inscripto formalmente a nombre del actor, lo que nadie parece haber advertido es que para lograr una transferencia de dominio deben intervenir el titular registral y el adquirente o, habiendo fallecido dicho titular registral -como ocurre en el caso- quienes dicen ser sus sucesores deben contar con la declaratoria de herederos y la correspondiente orden de inscripción dictada por el juez interviniente en el sucesorio.</w:t>
      </w:r>
    </w:p>
    <w:p w:rsidR="00181765" w:rsidRPr="00181765" w:rsidRDefault="00181765" w:rsidP="00181765">
      <w:pPr>
        <w:spacing w:before="100" w:beforeAutospacing="1" w:after="100" w:afterAutospacing="1" w:line="240" w:lineRule="auto"/>
        <w:rPr>
          <w:rFonts w:ascii="Times New Roman" w:eastAsia="Times New Roman" w:hAnsi="Times New Roman" w:cs="Times New Roman"/>
          <w:sz w:val="24"/>
          <w:szCs w:val="24"/>
          <w:lang w:eastAsia="es-AR"/>
        </w:rPr>
      </w:pPr>
      <w:r w:rsidRPr="00181765">
        <w:rPr>
          <w:rFonts w:ascii="Times New Roman" w:eastAsia="Times New Roman" w:hAnsi="Times New Roman" w:cs="Times New Roman"/>
          <w:sz w:val="24"/>
          <w:szCs w:val="24"/>
          <w:lang w:eastAsia="es-AR"/>
        </w:rPr>
        <w:t>Pareciera que justamente lo que se quiso soslayar al requerir reiteradamente el libramiento de un oficio a la magistrada de esta causa fue el hecho de tener que tramitar un juicio sucesorio, máxime que la propia demandada manifestó que éste no había sido iniciado (fs. 63), y al actor tal idea ni siquiera se le ocurrió, al pretender demandar lisa y llanamente a la cónyuge supérstite.</w:t>
      </w:r>
    </w:p>
    <w:p w:rsidR="00181765" w:rsidRPr="00181765" w:rsidRDefault="00181765" w:rsidP="00181765">
      <w:pPr>
        <w:spacing w:before="100" w:beforeAutospacing="1" w:after="100" w:afterAutospacing="1" w:line="240" w:lineRule="auto"/>
        <w:rPr>
          <w:rFonts w:ascii="Times New Roman" w:eastAsia="Times New Roman" w:hAnsi="Times New Roman" w:cs="Times New Roman"/>
          <w:sz w:val="24"/>
          <w:szCs w:val="24"/>
          <w:lang w:eastAsia="es-AR"/>
        </w:rPr>
      </w:pPr>
      <w:r w:rsidRPr="00181765">
        <w:rPr>
          <w:rFonts w:ascii="Times New Roman" w:eastAsia="Times New Roman" w:hAnsi="Times New Roman" w:cs="Times New Roman"/>
          <w:sz w:val="24"/>
          <w:szCs w:val="24"/>
          <w:lang w:eastAsia="es-AR"/>
        </w:rPr>
        <w:t xml:space="preserve">La </w:t>
      </w:r>
      <w:proofErr w:type="spellStart"/>
      <w:r w:rsidRPr="00181765">
        <w:rPr>
          <w:rFonts w:ascii="Times New Roman" w:eastAsia="Times New Roman" w:hAnsi="Times New Roman" w:cs="Times New Roman"/>
          <w:sz w:val="24"/>
          <w:szCs w:val="24"/>
          <w:lang w:eastAsia="es-AR"/>
        </w:rPr>
        <w:t>sentenciante</w:t>
      </w:r>
      <w:proofErr w:type="spellEnd"/>
      <w:r w:rsidRPr="00181765">
        <w:rPr>
          <w:rFonts w:ascii="Times New Roman" w:eastAsia="Times New Roman" w:hAnsi="Times New Roman" w:cs="Times New Roman"/>
          <w:sz w:val="24"/>
          <w:szCs w:val="24"/>
          <w:lang w:eastAsia="es-AR"/>
        </w:rPr>
        <w:t>, por su parte, se limitó a condenar a quienes se presentaron como esposa e hijos, otorgándoles sólo un imposible plazo de veinte días para dar cumplimiento a la sentencia, cuando estaba claro que la sucesión no se había iniciado, y la obligación de hacer que se estaba imponiendo implicaba el contar con dicha declaratoria.</w:t>
      </w:r>
    </w:p>
    <w:p w:rsidR="00181765" w:rsidRPr="00181765" w:rsidRDefault="00181765" w:rsidP="00181765">
      <w:pPr>
        <w:spacing w:before="100" w:beforeAutospacing="1" w:after="100" w:afterAutospacing="1" w:line="240" w:lineRule="auto"/>
        <w:rPr>
          <w:rFonts w:ascii="Times New Roman" w:eastAsia="Times New Roman" w:hAnsi="Times New Roman" w:cs="Times New Roman"/>
          <w:sz w:val="24"/>
          <w:szCs w:val="24"/>
          <w:lang w:eastAsia="es-AR"/>
        </w:rPr>
      </w:pPr>
      <w:r w:rsidRPr="00181765">
        <w:rPr>
          <w:rFonts w:ascii="Times New Roman" w:eastAsia="Times New Roman" w:hAnsi="Times New Roman" w:cs="Times New Roman"/>
          <w:sz w:val="24"/>
          <w:szCs w:val="24"/>
          <w:lang w:eastAsia="es-AR"/>
        </w:rPr>
        <w:t xml:space="preserve">Por otra parte, quien adquiere un automotor a una persona que no es el titular </w:t>
      </w:r>
      <w:proofErr w:type="spellStart"/>
      <w:r w:rsidRPr="00181765">
        <w:rPr>
          <w:rFonts w:ascii="Times New Roman" w:eastAsia="Times New Roman" w:hAnsi="Times New Roman" w:cs="Times New Roman"/>
          <w:sz w:val="24"/>
          <w:szCs w:val="24"/>
          <w:lang w:eastAsia="es-AR"/>
        </w:rPr>
        <w:t>dominial</w:t>
      </w:r>
      <w:proofErr w:type="spellEnd"/>
      <w:r w:rsidRPr="00181765">
        <w:rPr>
          <w:rFonts w:ascii="Times New Roman" w:eastAsia="Times New Roman" w:hAnsi="Times New Roman" w:cs="Times New Roman"/>
          <w:sz w:val="24"/>
          <w:szCs w:val="24"/>
          <w:lang w:eastAsia="es-AR"/>
        </w:rPr>
        <w:t>, y que no ha cumplido con su obligación de inscribir el bien a su nombre dentro de los diez días de adquirido (art. 15 Decreto-Ley 6582/1958, t. o. Decreto 1114/97), no puede ignorar las dificultades que ello importa, más allá de que se presume que los que adquieren derechos sobre un automotor, conocen las constancias de su inscripción y de las demás anotaciones que respecto de aquel obran en el Registro de la Propiedad del Automotor (art. 16 del mismo Régimen Legal del Automotor).</w:t>
      </w:r>
    </w:p>
    <w:p w:rsidR="00181765" w:rsidRPr="00181765" w:rsidRDefault="00181765" w:rsidP="00181765">
      <w:pPr>
        <w:spacing w:before="100" w:beforeAutospacing="1" w:after="100" w:afterAutospacing="1" w:line="240" w:lineRule="auto"/>
        <w:rPr>
          <w:rFonts w:ascii="Times New Roman" w:eastAsia="Times New Roman" w:hAnsi="Times New Roman" w:cs="Times New Roman"/>
          <w:sz w:val="24"/>
          <w:szCs w:val="24"/>
          <w:lang w:eastAsia="es-AR"/>
        </w:rPr>
      </w:pPr>
      <w:r w:rsidRPr="00181765">
        <w:rPr>
          <w:rFonts w:ascii="Times New Roman" w:eastAsia="Times New Roman" w:hAnsi="Times New Roman" w:cs="Times New Roman"/>
          <w:sz w:val="24"/>
          <w:szCs w:val="24"/>
          <w:lang w:eastAsia="es-AR"/>
        </w:rPr>
        <w:t>En el caso, además, el vendedor original había realizado la denuncia de venta (ver constancia de fs. 41), por lo que el incumplimiento de dicha obligación por parte del adquirente habría operado la revocación de la autorización para circular con el automotor, si el titular la hubiese otorgado, una vez transcurrido el término fijado en el artículo 15 sin que la inscripción se hubiere peticionado (art. 27 del mismo ordenamiento).</w:t>
      </w:r>
    </w:p>
    <w:p w:rsidR="00181765" w:rsidRPr="00181765" w:rsidRDefault="00181765" w:rsidP="00181765">
      <w:pPr>
        <w:spacing w:before="100" w:beforeAutospacing="1" w:after="100" w:afterAutospacing="1" w:line="240" w:lineRule="auto"/>
        <w:rPr>
          <w:rFonts w:ascii="Times New Roman" w:eastAsia="Times New Roman" w:hAnsi="Times New Roman" w:cs="Times New Roman"/>
          <w:sz w:val="24"/>
          <w:szCs w:val="24"/>
          <w:lang w:eastAsia="es-AR"/>
        </w:rPr>
      </w:pPr>
      <w:r w:rsidRPr="00181765">
        <w:rPr>
          <w:rFonts w:ascii="Times New Roman" w:eastAsia="Times New Roman" w:hAnsi="Times New Roman" w:cs="Times New Roman"/>
          <w:sz w:val="24"/>
          <w:szCs w:val="24"/>
          <w:lang w:eastAsia="es-AR"/>
        </w:rPr>
        <w:lastRenderedPageBreak/>
        <w:t>En estas condiciones, sólo cabe exhortar a las partes y a sus letrados a tratar de resolver la cuestión planteada en el término más breve posible y procurando arribar a una solución del conflicto transitando las vías procesales correspondientes.</w:t>
      </w:r>
    </w:p>
    <w:p w:rsidR="00181765" w:rsidRPr="00181765" w:rsidRDefault="00181765" w:rsidP="00181765">
      <w:pPr>
        <w:spacing w:before="100" w:beforeAutospacing="1" w:after="100" w:afterAutospacing="1" w:line="240" w:lineRule="auto"/>
        <w:rPr>
          <w:rFonts w:ascii="Times New Roman" w:eastAsia="Times New Roman" w:hAnsi="Times New Roman" w:cs="Times New Roman"/>
          <w:sz w:val="24"/>
          <w:szCs w:val="24"/>
          <w:lang w:eastAsia="es-AR"/>
        </w:rPr>
      </w:pPr>
      <w:r w:rsidRPr="00181765">
        <w:rPr>
          <w:rFonts w:ascii="Times New Roman" w:eastAsia="Times New Roman" w:hAnsi="Times New Roman" w:cs="Times New Roman"/>
          <w:sz w:val="24"/>
          <w:szCs w:val="24"/>
          <w:lang w:eastAsia="es-AR"/>
        </w:rPr>
        <w:t>Por todo lo expuesto, propongo al Acuerdo confirmar el decisorio recurrido en lo que ha sido materia de apelación.</w:t>
      </w:r>
    </w:p>
    <w:p w:rsidR="00181765" w:rsidRPr="00181765" w:rsidRDefault="00181765" w:rsidP="00181765">
      <w:pPr>
        <w:spacing w:before="100" w:beforeAutospacing="1" w:after="100" w:afterAutospacing="1" w:line="240" w:lineRule="auto"/>
        <w:rPr>
          <w:rFonts w:ascii="Times New Roman" w:eastAsia="Times New Roman" w:hAnsi="Times New Roman" w:cs="Times New Roman"/>
          <w:sz w:val="24"/>
          <w:szCs w:val="24"/>
          <w:lang w:eastAsia="es-AR"/>
        </w:rPr>
      </w:pPr>
      <w:r w:rsidRPr="00181765">
        <w:rPr>
          <w:rFonts w:ascii="Times New Roman" w:eastAsia="Times New Roman" w:hAnsi="Times New Roman" w:cs="Times New Roman"/>
          <w:sz w:val="24"/>
          <w:szCs w:val="24"/>
          <w:lang w:eastAsia="es-AR"/>
        </w:rPr>
        <w:t>Las doctoras Beatriz A. Verón y Zulema Wilde adhieren al voto precedente.</w:t>
      </w:r>
    </w:p>
    <w:p w:rsidR="00181765" w:rsidRPr="00181765" w:rsidRDefault="00181765" w:rsidP="00181765">
      <w:pPr>
        <w:spacing w:before="100" w:beforeAutospacing="1" w:after="100" w:afterAutospacing="1" w:line="240" w:lineRule="auto"/>
        <w:rPr>
          <w:rFonts w:ascii="Times New Roman" w:eastAsia="Times New Roman" w:hAnsi="Times New Roman" w:cs="Times New Roman"/>
          <w:sz w:val="24"/>
          <w:szCs w:val="24"/>
          <w:lang w:eastAsia="es-AR"/>
        </w:rPr>
      </w:pPr>
      <w:r w:rsidRPr="00181765">
        <w:rPr>
          <w:rFonts w:ascii="Times New Roman" w:eastAsia="Times New Roman" w:hAnsi="Times New Roman" w:cs="Times New Roman"/>
          <w:sz w:val="24"/>
          <w:szCs w:val="24"/>
          <w:lang w:eastAsia="es-AR"/>
        </w:rPr>
        <w:t xml:space="preserve">Y vistos: Lo deliberado y conclusiones establecidas en el Acuerdo precedentemente transcripto el Tribunal resuelve: </w:t>
      </w:r>
    </w:p>
    <w:p w:rsidR="00181765" w:rsidRPr="00181765" w:rsidRDefault="00181765" w:rsidP="00181765">
      <w:pPr>
        <w:spacing w:before="100" w:beforeAutospacing="1" w:after="100" w:afterAutospacing="1" w:line="240" w:lineRule="auto"/>
        <w:rPr>
          <w:rFonts w:ascii="Times New Roman" w:eastAsia="Times New Roman" w:hAnsi="Times New Roman" w:cs="Times New Roman"/>
          <w:sz w:val="24"/>
          <w:szCs w:val="24"/>
          <w:lang w:eastAsia="es-AR"/>
        </w:rPr>
      </w:pPr>
      <w:r w:rsidRPr="00181765">
        <w:rPr>
          <w:rFonts w:ascii="Times New Roman" w:eastAsia="Times New Roman" w:hAnsi="Times New Roman" w:cs="Times New Roman"/>
          <w:sz w:val="24"/>
          <w:szCs w:val="24"/>
          <w:lang w:eastAsia="es-AR"/>
        </w:rPr>
        <w:t>Confirmar el decisorio recurrido en lo que ha sido materia de apelación.</w:t>
      </w:r>
    </w:p>
    <w:p w:rsidR="00181765" w:rsidRPr="00181765" w:rsidRDefault="00181765" w:rsidP="00181765">
      <w:pPr>
        <w:spacing w:before="100" w:beforeAutospacing="1" w:after="100" w:afterAutospacing="1" w:line="240" w:lineRule="auto"/>
        <w:rPr>
          <w:rFonts w:ascii="Times New Roman" w:eastAsia="Times New Roman" w:hAnsi="Times New Roman" w:cs="Times New Roman"/>
          <w:sz w:val="24"/>
          <w:szCs w:val="24"/>
          <w:lang w:eastAsia="es-AR"/>
        </w:rPr>
      </w:pPr>
      <w:r w:rsidRPr="00181765">
        <w:rPr>
          <w:rFonts w:ascii="Times New Roman" w:eastAsia="Times New Roman" w:hAnsi="Times New Roman" w:cs="Times New Roman"/>
          <w:sz w:val="24"/>
          <w:szCs w:val="24"/>
          <w:lang w:eastAsia="es-AR"/>
        </w:rPr>
        <w:t>Difiérase la regulación de los honorarios para su oportunidad.</w:t>
      </w:r>
    </w:p>
    <w:p w:rsidR="00181765" w:rsidRPr="00181765" w:rsidRDefault="00181765" w:rsidP="00181765">
      <w:pPr>
        <w:spacing w:before="100" w:beforeAutospacing="1" w:after="100" w:afterAutospacing="1" w:line="240" w:lineRule="auto"/>
        <w:rPr>
          <w:rFonts w:ascii="Times New Roman" w:eastAsia="Times New Roman" w:hAnsi="Times New Roman" w:cs="Times New Roman"/>
          <w:sz w:val="24"/>
          <w:szCs w:val="24"/>
          <w:lang w:eastAsia="es-AR"/>
        </w:rPr>
      </w:pPr>
      <w:r w:rsidRPr="00181765">
        <w:rPr>
          <w:rFonts w:ascii="Times New Roman" w:eastAsia="Times New Roman" w:hAnsi="Times New Roman" w:cs="Times New Roman"/>
          <w:sz w:val="24"/>
          <w:szCs w:val="24"/>
          <w:lang w:eastAsia="es-AR"/>
        </w:rPr>
        <w:t>Regístrese, notifíquese y devuélvase</w:t>
      </w:r>
      <w:proofErr w:type="gramStart"/>
      <w:r w:rsidRPr="00181765">
        <w:rPr>
          <w:rFonts w:ascii="Times New Roman" w:eastAsia="Times New Roman" w:hAnsi="Times New Roman" w:cs="Times New Roman"/>
          <w:sz w:val="24"/>
          <w:szCs w:val="24"/>
          <w:lang w:eastAsia="es-AR"/>
        </w:rPr>
        <w:t>.—</w:t>
      </w:r>
      <w:proofErr w:type="gramEnd"/>
      <w:r w:rsidRPr="00181765">
        <w:rPr>
          <w:rFonts w:ascii="Times New Roman" w:eastAsia="Times New Roman" w:hAnsi="Times New Roman" w:cs="Times New Roman"/>
          <w:sz w:val="24"/>
          <w:szCs w:val="24"/>
          <w:lang w:eastAsia="es-AR"/>
        </w:rPr>
        <w:t xml:space="preserve">Marta del Rosario </w:t>
      </w:r>
      <w:proofErr w:type="spellStart"/>
      <w:r w:rsidRPr="00181765">
        <w:rPr>
          <w:rFonts w:ascii="Times New Roman" w:eastAsia="Times New Roman" w:hAnsi="Times New Roman" w:cs="Times New Roman"/>
          <w:sz w:val="24"/>
          <w:szCs w:val="24"/>
          <w:lang w:eastAsia="es-AR"/>
        </w:rPr>
        <w:t>Mattera</w:t>
      </w:r>
      <w:proofErr w:type="spellEnd"/>
      <w:r w:rsidRPr="00181765">
        <w:rPr>
          <w:rFonts w:ascii="Times New Roman" w:eastAsia="Times New Roman" w:hAnsi="Times New Roman" w:cs="Times New Roman"/>
          <w:sz w:val="24"/>
          <w:szCs w:val="24"/>
          <w:lang w:eastAsia="es-AR"/>
        </w:rPr>
        <w:t xml:space="preserve">. — Beatriz A. Verón. — Zulema Wilde </w:t>
      </w:r>
    </w:p>
    <w:p w:rsidR="00181765" w:rsidRPr="00181765" w:rsidRDefault="00181765" w:rsidP="00181765">
      <w:pPr>
        <w:spacing w:after="0" w:line="240" w:lineRule="auto"/>
        <w:rPr>
          <w:rFonts w:ascii="Times New Roman" w:eastAsia="Times New Roman" w:hAnsi="Times New Roman" w:cs="Times New Roman"/>
          <w:sz w:val="24"/>
          <w:szCs w:val="24"/>
          <w:lang w:eastAsia="es-AR"/>
        </w:rPr>
      </w:pPr>
      <w:r w:rsidRPr="00181765">
        <w:rPr>
          <w:rFonts w:ascii="Times New Roman" w:eastAsia="Times New Roman" w:hAnsi="Times New Roman" w:cs="Times New Roman"/>
          <w:sz w:val="24"/>
          <w:szCs w:val="24"/>
          <w:lang w:eastAsia="es-AR"/>
        </w:rPr>
        <w:t> </w:t>
      </w:r>
    </w:p>
    <w:p w:rsidR="00181765" w:rsidRPr="00181765" w:rsidRDefault="00181765" w:rsidP="00181765">
      <w:pPr>
        <w:spacing w:after="0" w:line="240" w:lineRule="auto"/>
        <w:rPr>
          <w:rFonts w:ascii="Times New Roman" w:eastAsia="Times New Roman" w:hAnsi="Times New Roman" w:cs="Times New Roman"/>
          <w:sz w:val="24"/>
          <w:szCs w:val="24"/>
          <w:lang w:eastAsia="es-AR"/>
        </w:rPr>
      </w:pPr>
      <w:r w:rsidRPr="00181765">
        <w:rPr>
          <w:rFonts w:ascii="Times New Roman" w:eastAsia="Times New Roman" w:hAnsi="Times New Roman" w:cs="Times New Roman"/>
          <w:sz w:val="24"/>
          <w:szCs w:val="24"/>
          <w:lang w:eastAsia="es-AR"/>
        </w:rPr>
        <w:t> </w:t>
      </w:r>
    </w:p>
    <w:p w:rsidR="00467085" w:rsidRDefault="00467085"/>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E7D6E"/>
    <w:multiLevelType w:val="multilevel"/>
    <w:tmpl w:val="52A4C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181765"/>
    <w:rsid w:val="00181765"/>
    <w:rsid w:val="00467085"/>
    <w:rsid w:val="008367BD"/>
    <w:rsid w:val="009250B3"/>
    <w:rsid w:val="00A0706F"/>
    <w:rsid w:val="00A81160"/>
    <w:rsid w:val="00E70E4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title">
    <w:name w:val="documenttitle"/>
    <w:basedOn w:val="Normal"/>
    <w:rsid w:val="0018176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documensubttitle">
    <w:name w:val="documensubttitle"/>
    <w:basedOn w:val="Fuentedeprrafopredeter"/>
    <w:rsid w:val="00181765"/>
  </w:style>
  <w:style w:type="character" w:customStyle="1" w:styleId="relatedinfobox">
    <w:name w:val="relatedinfobox"/>
    <w:basedOn w:val="Fuentedeprrafopredeter"/>
    <w:rsid w:val="00181765"/>
  </w:style>
  <w:style w:type="character" w:customStyle="1" w:styleId="arrowbutton">
    <w:name w:val="arrowbutton"/>
    <w:basedOn w:val="Fuentedeprrafopredeter"/>
    <w:rsid w:val="00181765"/>
  </w:style>
  <w:style w:type="paragraph" w:customStyle="1" w:styleId="headadjust">
    <w:name w:val="headadjust"/>
    <w:basedOn w:val="Normal"/>
    <w:rsid w:val="0018176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eadtitle">
    <w:name w:val="headtitle"/>
    <w:basedOn w:val="Fuentedeprrafopredeter"/>
    <w:rsid w:val="00181765"/>
  </w:style>
  <w:style w:type="character" w:customStyle="1" w:styleId="headtext">
    <w:name w:val="headtext"/>
    <w:basedOn w:val="Fuentedeprrafopredeter"/>
    <w:rsid w:val="00181765"/>
  </w:style>
  <w:style w:type="paragraph" w:customStyle="1" w:styleId="boxfallostitle">
    <w:name w:val="boxfallostitle"/>
    <w:basedOn w:val="Normal"/>
    <w:rsid w:val="00181765"/>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ontent">
    <w:name w:val="content"/>
    <w:basedOn w:val="Normal"/>
    <w:rsid w:val="0018176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itulotextocompleto">
    <w:name w:val="titulotextocompleto"/>
    <w:basedOn w:val="Fuentedeprrafopredeter"/>
    <w:rsid w:val="001817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523767">
      <w:bodyDiv w:val="1"/>
      <w:marLeft w:val="0"/>
      <w:marRight w:val="0"/>
      <w:marTop w:val="0"/>
      <w:marBottom w:val="0"/>
      <w:divBdr>
        <w:top w:val="none" w:sz="0" w:space="0" w:color="auto"/>
        <w:left w:val="none" w:sz="0" w:space="0" w:color="auto"/>
        <w:bottom w:val="none" w:sz="0" w:space="0" w:color="auto"/>
        <w:right w:val="none" w:sz="0" w:space="0" w:color="auto"/>
      </w:divBdr>
      <w:divsChild>
        <w:div w:id="1996952859">
          <w:marLeft w:val="0"/>
          <w:marRight w:val="0"/>
          <w:marTop w:val="0"/>
          <w:marBottom w:val="0"/>
          <w:divBdr>
            <w:top w:val="none" w:sz="0" w:space="0" w:color="auto"/>
            <w:left w:val="none" w:sz="0" w:space="0" w:color="auto"/>
            <w:bottom w:val="none" w:sz="0" w:space="0" w:color="auto"/>
            <w:right w:val="none" w:sz="0" w:space="0" w:color="auto"/>
          </w:divBdr>
          <w:divsChild>
            <w:div w:id="597299911">
              <w:marLeft w:val="0"/>
              <w:marRight w:val="0"/>
              <w:marTop w:val="0"/>
              <w:marBottom w:val="0"/>
              <w:divBdr>
                <w:top w:val="none" w:sz="0" w:space="0" w:color="auto"/>
                <w:left w:val="none" w:sz="0" w:space="0" w:color="auto"/>
                <w:bottom w:val="none" w:sz="0" w:space="0" w:color="auto"/>
                <w:right w:val="none" w:sz="0" w:space="0" w:color="auto"/>
              </w:divBdr>
              <w:divsChild>
                <w:div w:id="1315833320">
                  <w:marLeft w:val="0"/>
                  <w:marRight w:val="0"/>
                  <w:marTop w:val="0"/>
                  <w:marBottom w:val="0"/>
                  <w:divBdr>
                    <w:top w:val="none" w:sz="0" w:space="0" w:color="auto"/>
                    <w:left w:val="none" w:sz="0" w:space="0" w:color="auto"/>
                    <w:bottom w:val="none" w:sz="0" w:space="0" w:color="auto"/>
                    <w:right w:val="none" w:sz="0" w:space="0" w:color="auto"/>
                  </w:divBdr>
                  <w:divsChild>
                    <w:div w:id="388499716">
                      <w:marLeft w:val="0"/>
                      <w:marRight w:val="0"/>
                      <w:marTop w:val="0"/>
                      <w:marBottom w:val="0"/>
                      <w:divBdr>
                        <w:top w:val="none" w:sz="0" w:space="0" w:color="auto"/>
                        <w:left w:val="none" w:sz="0" w:space="0" w:color="auto"/>
                        <w:bottom w:val="none" w:sz="0" w:space="0" w:color="auto"/>
                        <w:right w:val="none" w:sz="0" w:space="0" w:color="auto"/>
                      </w:divBdr>
                      <w:divsChild>
                        <w:div w:id="1645507289">
                          <w:marLeft w:val="0"/>
                          <w:marRight w:val="0"/>
                          <w:marTop w:val="0"/>
                          <w:marBottom w:val="0"/>
                          <w:divBdr>
                            <w:top w:val="none" w:sz="0" w:space="0" w:color="auto"/>
                            <w:left w:val="none" w:sz="0" w:space="0" w:color="auto"/>
                            <w:bottom w:val="none" w:sz="0" w:space="0" w:color="auto"/>
                            <w:right w:val="none" w:sz="0" w:space="0" w:color="auto"/>
                          </w:divBdr>
                          <w:divsChild>
                            <w:div w:id="6871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3719">
                      <w:marLeft w:val="0"/>
                      <w:marRight w:val="0"/>
                      <w:marTop w:val="0"/>
                      <w:marBottom w:val="0"/>
                      <w:divBdr>
                        <w:top w:val="none" w:sz="0" w:space="0" w:color="auto"/>
                        <w:left w:val="none" w:sz="0" w:space="0" w:color="auto"/>
                        <w:bottom w:val="none" w:sz="0" w:space="0" w:color="auto"/>
                        <w:right w:val="none" w:sz="0" w:space="0" w:color="auto"/>
                      </w:divBdr>
                      <w:divsChild>
                        <w:div w:id="455492843">
                          <w:marLeft w:val="0"/>
                          <w:marRight w:val="0"/>
                          <w:marTop w:val="0"/>
                          <w:marBottom w:val="0"/>
                          <w:divBdr>
                            <w:top w:val="none" w:sz="0" w:space="0" w:color="auto"/>
                            <w:left w:val="none" w:sz="0" w:space="0" w:color="auto"/>
                            <w:bottom w:val="none" w:sz="0" w:space="0" w:color="auto"/>
                            <w:right w:val="none" w:sz="0" w:space="0" w:color="auto"/>
                          </w:divBdr>
                        </w:div>
                      </w:divsChild>
                    </w:div>
                    <w:div w:id="4904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368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1454</Words>
  <Characters>8001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3</cp:revision>
  <dcterms:created xsi:type="dcterms:W3CDTF">2011-12-16T16:56:00Z</dcterms:created>
  <dcterms:modified xsi:type="dcterms:W3CDTF">2014-04-23T12:17:00Z</dcterms:modified>
</cp:coreProperties>
</file>